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6913bf30894571"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f2de25e7f53a4a45"/>
      <w:headerReference xmlns:r="http://schemas.openxmlformats.org/officeDocument/2006/relationships" w:type="default" r:id="R41ad1ac3c1c349d0"/>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בבחיפה בשבתו כבית-משפט לערעורים אזרחיים </w:t>
            </w:r>
          </w:p>
        </w:tc>
      </w:tr>
      <w:tr>
        <w:tc>
          <w:tcPr>
            <w:gridSpan w:val="3"/>
            <w:tcBorders/>
          </w:tcPr>
          <w:p>
            <w:pPr>
              <w:bidi w:val="true"/>
            </w:pPr>
            <w:br/>
          </w:p>
        </w:tc>
      </w:tr>
      <w:tr>
        <w:tc>
          <w:tcPr>
            <w:gridSpan w:val="2"/>
            <w:tcBorders/>
          </w:tcPr>
          <w:p>
            <w:pPr>
              <w:bidi w:val="true"/>
            </w:pPr>
            <w:r>
              <w:rPr>
                <w:rtl w:val="true"/>
              </w:rPr>
              <w:t xml:space="preserve">ע"א 23605-02-16 סילס נ' קולוסובסקי ואח'</w:t>
            </w:r>
          </w:p>
        </w:tc>
        <w:tc>
          <w:tcPr>
            <w:gridSpan w:val="1"/>
            <w:tcBorders/>
            <w:tcW w:w="1500" w:type="pct"/>
          </w:tcPr>
          <w:p>
            <w:pPr>
              <w:bidi w:val="true"/>
              <w:jc w:val="right"/>
            </w:pPr>
            <w:r>
              <w:rPr>
                <w:rtl w:val="true"/>
              </w:rPr>
              <w:t xml:space="preserve">12 אפר 2016</w:t>
            </w:r>
            <w:br/>
            <w:r>
              <w:rPr>
                <w:rtl w:val="true"/>
              </w:rPr>
              <w:t xml:space="preserve">23605-02-16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השופטים</w:t>
            </w:r>
          </w:p>
        </w:tc>
        <w:tc>
          <w:tcPr>
            <w:gridSpan w:val="2"/>
            <w:tcBorders/>
          </w:tcPr>
          <w:p>
            <w:pPr>
              <w:bidi w:val="true"/>
            </w:pPr>
            <w:r>
              <w:rPr>
                <w:rtl w:val="true"/>
              </w:rPr>
              <w:t xml:space="preserve">1. עדי זרנקין- אב"ד</w:t>
            </w:r>
            <w:br/>
            <w:r>
              <w:rPr>
                <w:rtl w:val="true"/>
              </w:rPr>
              <w:t xml:space="preserve">2. רבקה פוקס</w:t>
            </w:r>
            <w:br/>
            <w:r>
              <w:rPr>
                <w:rtl w:val="true"/>
              </w:rPr>
              <w:t xml:space="preserve">3. חננאל שרעבי</w:t>
            </w:r>
            <w:br/>
          </w:p>
        </w:tc>
      </w:tr>
      <w:tr>
        <w:tc>
          <w:tcPr>
            <w:gridSpan w:val="3"/>
            <w:tcBorders/>
          </w:tcPr>
          <w:p>
            <w:pPr>
              <w:bidi w:val="true"/>
            </w:pPr>
            <w:br/>
          </w:p>
        </w:tc>
      </w:tr>
      <w:tr>
        <w:tc>
          <w:tcPr>
            <w:gridSpan w:val="1"/>
            <w:tcBorders/>
          </w:tcPr>
          <w:p>
            <w:pPr>
              <w:bidi w:val="true"/>
            </w:pPr>
            <w:r>
              <w:rPr>
                <w:b w:val="true"/>
                <w:bCs w:val="true"/>
                <w:rtl w:val="true"/>
              </w:rPr>
              <w:t xml:space="preserve">המערער</w:t>
            </w:r>
          </w:p>
        </w:tc>
        <w:tc>
          <w:tcPr>
            <w:gridSpan w:val="2"/>
            <w:tcBorders/>
          </w:tcPr>
          <w:p>
            <w:pPr>
              <w:bidi w:val="true"/>
            </w:pPr>
            <w:r>
              <w:rPr>
                <w:rtl w:val="true"/>
              </w:rPr>
              <w:t xml:space="preserve">רחמים סילס</w:t>
            </w:r>
            <w:br/>
            <w:r>
              <w:rPr>
                <w:rtl w:val="true"/>
              </w:rPr>
              <w:t xml:space="preserve">ע"י עו"ד יחזקאל חרלף</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המשיבות</w:t>
            </w:r>
          </w:p>
        </w:tc>
        <w:tc>
          <w:tcPr>
            <w:gridSpan w:val="2"/>
            <w:tcBorders/>
          </w:tcPr>
          <w:p>
            <w:pPr>
              <w:bidi w:val="true"/>
            </w:pPr>
            <w:r>
              <w:rPr>
                <w:rtl w:val="true"/>
              </w:rPr>
              <w:t xml:space="preserve">1. פנינה קולוסובסקי</w:t>
            </w:r>
            <w:br/>
            <w:r>
              <w:rPr>
                <w:rtl w:val="true"/>
              </w:rPr>
              <w:t xml:space="preserve">2. קניון החיות ציוד דיג בע"מ</w:t>
            </w:r>
            <w:br/>
            <w:br/>
            <w:r>
              <w:rPr>
                <w:rtl w:val="true"/>
              </w:rPr>
              <w:t xml:space="preserve">ע"י עו"ד גיל צבע ואח'</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ערעור על פסק דינו של בית משפט השלום בחיפה (כב' השופטת מעיין צור) מיום 29.12.15, לפיו דחתה את תביעת המערער לפינוי המשיבות מהמושכר ברח' משה צורי 18 פינת דרך הארבעה 11, עכו, הידוע גם כגוש 18006 חלקה 35 תת חלקה 3 (להלן: "הנכס" או "המושכר") המשמש את המשיבות כחנות בדיירות מוגנת.</w:t>
      </w:r>
    </w:p>
    <w:p>
      <w:pPr>
        <w:bidi w:val="true"/>
        <w:jc w:val="both"/>
      </w:pPr>
      <w:r>
        <w:rPr>
          <w:rtl w:val="true"/>
        </w:rPr>
        <w:t xml:space="preserve">כמו כן דחה בית המשפט תביעה כספית שהוגשה.</w:t>
      </w:r>
    </w:p>
    <w:p>
      <w:pPr>
        <w:bidi w:val="true"/>
        <w:jc w:val="both"/>
      </w:pPr>
      <w:r>
        <w:rPr>
          <w:rtl w:val="true"/>
        </w:rPr>
        <w:t xml:space="preserve">לאחר שעיינו בפסק הדין, עיינו בטענות הצדדים ושמענו את טיעוניהם בעל פה, מצאנו לדחות את הערעור לפי תקנה 460 לתקנות סדר הדין האזרחי, התשמ"ד-1984, לאחר שמצאנו כי אין מקום לדחות את הממצאים העובדתיים שנקבעו, הממצאים תומכים במסקנות המשפטיות ואין לגלות בפסק הדין טעות שבחוק.</w:t>
      </w:r>
    </w:p>
    <w:p>
      <w:pPr>
        <w:bidi w:val="true"/>
        <w:jc w:val="both"/>
      </w:pPr>
      <w:r>
        <w:rPr>
          <w:rtl w:val="true"/>
        </w:rPr>
        <w:t xml:space="preserve">למעלה מן הנדרש נוסיף מספר הערות:</w:t>
      </w:r>
    </w:p>
    <w:p>
      <w:pPr>
        <w:bidi w:val="true"/>
        <w:jc w:val="both"/>
      </w:pPr>
      <w:r>
        <w:rPr>
          <w:rtl w:val="true"/>
        </w:rPr>
        <w:t xml:space="preserve">ראשית נאמר כי בדין נקבע בבית משפט קמא כי לא הוכחה נטישה, משלא התקיים היסוד הנפשי להוכחת עילת הנטישה. יודגש כי העסק, לכל אורך התקופה הנטענת, היה מנוהל בפועל על ידי המשיבה מס' 1, כאשר גם התנהלותה בדיעבד, כשהוברר לה שבעל הבית מתנגד כי הנכס יוחזק על ידי חברה בע"מ שבשליטתה היחידה, עשתה לשינוי הרישום הנדרש, ושבה ופתחה עוסק מורשה על שמה.</w:t>
      </w:r>
    </w:p>
    <w:p>
      <w:pPr>
        <w:bidi w:val="true"/>
        <w:jc w:val="both"/>
      </w:pPr>
      <w:r>
        <w:rPr>
          <w:rtl w:val="true"/>
        </w:rPr>
        <w:t xml:space="preserve">אשר לטענה לביטול חוזה בשל אי תשלום שכר דירה במועד, נציין כי אחרי הכל ובמהלך הדיונים שניהלו הצדדים בבית משפט קמא, הגיעו הצדדים להסדר תשלום שכר הדירה בשני הליכים שהתקיימו, לאחר שהיו ביניהם מחלוקות כיצד התשלום יתבצע, וזאת תחת קורת גג בית המשפט, ועל כן ניתן לקבוע, כפי שקבע בית משפט קמא, כי לא התקיים ניתוק של המשיבה מס' 1 מן המושכר.</w:t>
      </w:r>
    </w:p>
    <w:p>
      <w:pPr>
        <w:bidi w:val="true"/>
        <w:jc w:val="both"/>
      </w:pPr>
      <w:r>
        <w:rPr>
          <w:rtl w:val="true"/>
        </w:rPr>
        <w:t xml:space="preserve">לכך נוסיף ונציין כי על פי ההתחייבות שבין הצדדים, היה נדרש כי יוגש חשבון לפני תשלום, דבר שלא נעשה, וגם לכך יש לתת את הדעת.</w:t>
      </w:r>
    </w:p>
    <w:p>
      <w:pPr>
        <w:bidi w:val="true"/>
        <w:jc w:val="both"/>
      </w:pPr>
      <w:r>
        <w:rPr>
          <w:rtl w:val="true"/>
        </w:rPr>
        <w:t xml:space="preserve">אשר לדמי השימוש שנטענו כי החברה צריכה לשלם בגין תקופת החזקתה בנכס, במשך כתשעה חודשים, יצוין כי בית משפט קמא צדק משלא פסק דמי שימוש, לאחר שלא הוכח ראש נזק זה, נזק אשר יש להוכיחו כדבעי על פי נתונים שנמצאים בידי המערער.</w:t>
      </w:r>
    </w:p>
    <w:p>
      <w:pPr>
        <w:bidi w:val="true"/>
        <w:jc w:val="both"/>
      </w:pPr>
      <w:r>
        <w:rPr>
          <w:rtl w:val="true"/>
        </w:rPr>
        <w:t xml:space="preserve">נוכח העובדה כי הצדדים ממשיכים להתנהל כמשכיר ושוכר, ועל מנת לא להרבות מחלוקות ביניהם, נורה כי כל צד יישא בהוצאותיו.</w:t>
      </w:r>
    </w:p>
    <w:p>
      <w:pPr>
        <w:bidi w:val="true"/>
        <w:jc w:val="both"/>
      </w:pPr>
      <w:r>
        <w:rPr>
          <w:rtl w:val="true"/>
        </w:rPr>
        <w:t xml:space="preserve"> </w:t>
      </w:r>
    </w:p>
    <w:p>
      <w:pPr>
        <w:bidi w:val="true"/>
        <w:jc w:val="both"/>
      </w:pPr>
      <w:r>
        <w:rPr>
          <w:rtl w:val="true"/>
        </w:rPr>
        <w:t xml:space="preserve">הפיקדון שהופקד יוחזר למפקידו באמצעות בא כוחו.</w:t>
      </w:r>
    </w:p>
    <w:p>
      <w:pPr>
        <w:bidi w:val="true"/>
        <w:jc w:val="both"/>
      </w:pPr>
      <w:bookmarkStart w:name="_GoBack" w:id="0"/>
      <w:bookmarkEnd w:id="0"/>
    </w:p>
    <w:p>
      <w:pPr>
        <w:bidi w:val="true"/>
        <w:jc w:val="both"/>
      </w:pPr>
      <w:r>
        <w:rPr>
          <w:b w:val="true"/>
          <w:bCs w:val="true"/>
          <w:u w:val="single"/>
          <w:rtl w:val="true"/>
        </w:rPr>
        <w:t xml:space="preserve">המזכירות תמציא עותק פסק הדין לצדדים.</w:t>
      </w:r>
    </w:p>
    <w:p>
      <w:pPr>
        <w:bidi w:val="true"/>
        <w:jc w:val="both"/>
      </w:pPr>
      <w:r>
        <w:rPr>
          <w:rtl w:val="true"/>
        </w:rPr>
        <w:t xml:space="preserve"> </w:t>
      </w:r>
    </w:p>
    <w:p>
      <w:pPr>
        <w:bidi w:val="true"/>
        <w:jc w:val="both"/>
      </w:pPr>
      <w:r>
        <w:rPr>
          <w:rtl w:val="true"/>
        </w:rPr>
        <w:t xml:space="preserve">ניתן היום, ד' ניסן תשע"ו, 12 אפריל 2016, בהעדר הצדדים.</w:t>
      </w:r>
    </w:p>
    <w:p>
      <w:pPr>
        <w:bidi w:val="true"/>
        <w:jc w:val="both"/>
      </w:pPr>
      <w:r>
        <w:rPr>
          <w:rtl w:val="true"/>
        </w:rPr>
        <w:t xml:space="preserve"> </w:t>
      </w:r>
    </w:p>
    <w:p>
      <w:pPr>
        <w:bidi w:val="true"/>
        <w:ind w:left="3600"/>
        <w:jc w:val="both"/>
      </w:pPr>
      <w:r>
        <w:rPr>
          <w:rtl w:val="true"/>
        </w:rPr>
        <w:drawing>
          <wp:inline xmlns:wp="http://schemas.openxmlformats.org/drawingml/2006/wordprocessingDrawing" distT="0" distB="0" distL="0" distR="0">
            <wp:extent cx="5943600" cy="2466975"/>
            <wp:docPr id="1" name="Img_d0b31337-97cb-4777-991f-365a52c31c47"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d0b31337-97cb-4777-991f-365a52c31c47" cstate="print"/>
                    <a:stretch>
                      <a:fillRect/>
                    </a:stretch>
                  </pic:blipFill>
                  <pic:spPr>
                    <a:xfrm>
                      <a:off x="0" y="0"/>
                      <a:ext cx="5943600" cy="2466975"/>
                    </a:xfrm>
                    <a:prstGeom prst="rect">
                      <a:avLst/>
                    </a:prstGeom>
                  </pic:spPr>
                </pic:pic>
              </a:graphicData>
            </a:graphic>
          </wp:inline>
        </w:drawing>
      </w:r>
    </w:p>
    <w:tbl>
      <w:tblPr>
        <w:tblCellSpacing w:w="2" w:type="dxa"/>
        <w:bidiVisual w:val="on"/>
        <w:rtl w:val="true"/>
        <w:tblW w:w="0" w:type="auto"/>
        <w:tblBorders>
          <w:top w:val="single" w:sz="0" w:space="2"/>
        </w:tblBorders>
      </w:tblPr>
      <w:tr>
        <w:tc>
          <w:tcPr>
            <w:gridSpan w:val="1"/>
            <w:tcBorders>
              <w:top w:val="single" w:sz="0" w:space="2"/>
            </w:tcBorders>
            <w:tcW w:w="2955" w:type="dxa"/>
          </w:tcPr>
          <w:p>
            <w:pPr>
              <w:bidi w:val="true"/>
              <w:jc w:val="center"/>
            </w:pPr>
            <w:r>
              <w:rPr>
                <w:b w:val="true"/>
                <w:bCs w:val="true"/>
                <w:rtl w:val="true"/>
              </w:rPr>
            </w:r>
            <w:r>
              <w:rPr>
                <w:b w:val="true"/>
                <w:bCs w:val="true"/>
                <w:rtl w:val="true"/>
              </w:rPr>
              <w:drawing>
                <wp:inline xmlns:wp="http://schemas.openxmlformats.org/drawingml/2006/wordprocessingDrawing" distT="0" distB="0" distL="0" distR="0">
                  <wp:extent cx="676275" cy="809625"/>
                  <wp:docPr id="1" name="Img_a22ff1dc-16b8-4cd9-98f5-44697615d949"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xmlns:r="http://schemas.openxmlformats.org/officeDocument/2006/relationships" r:embed="Img_a22ff1dc-16b8-4cd9-98f5-44697615d949" cstate="print"/>
                          <a:stretch>
                            <a:fillRect/>
                          </a:stretch>
                        </pic:blipFill>
                        <pic:spPr>
                          <a:xfrm>
                            <a:off x="0" y="0"/>
                            <a:ext cx="676275" cy="809625"/>
                          </a:xfrm>
                          <a:prstGeom prst="rect">
                            <a:avLst/>
                          </a:prstGeom>
                        </pic:spPr>
                      </pic:pic>
                    </a:graphicData>
                  </a:graphic>
                </wp:inline>
              </w:drawing>
            </w:r>
          </w:p>
        </w:tc>
        <w:tc>
          <w:tcPr>
            <w:gridSpan w:val="1"/>
            <w:tcBorders/>
            <w:tcW w:w="225" w:type="dxa"/>
          </w:tcPr>
          <w:p>
            <w:pPr>
              <w:bidi w:val="true"/>
            </w:pPr>
            <w:r>
              <w:rPr>
                <w:rtl w:val="true"/>
              </w:rPr>
              <w:t xml:space="preserve"> </w:t>
            </w:r>
          </w:p>
        </w:tc>
        <w:tc>
          <w:tcPr>
            <w:gridSpan w:val="1"/>
            <w:tcBorders>
              <w:top w:val="single" w:sz="0" w:space="2"/>
            </w:tcBorders>
            <w:tcW w:w="2505" w:type="dxa"/>
          </w:tcPr>
          <w:p>
            <w:pPr>
              <w:bidi w:val="true"/>
              <w:jc w:val="center"/>
            </w:pPr>
            <w:r>
              <w:rPr>
                <w:b w:val="true"/>
                <w:bCs w:val="true"/>
                <w:rtl w:val="true"/>
              </w:rPr>
            </w:r>
            <w:r>
              <w:rPr>
                <w:b w:val="true"/>
                <w:bCs w:val="true"/>
                <w:rtl w:val="true"/>
              </w:rPr>
              <w:drawing>
                <wp:inline xmlns:wp="http://schemas.openxmlformats.org/drawingml/2006/wordprocessingDrawing" distT="0" distB="0" distL="0" distR="0">
                  <wp:extent cx="1066800" cy="523875"/>
                  <wp:docPr id="1" name="Img_b2586128-f979-4691-b23a-cdb831962413"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xmlns:r="http://schemas.openxmlformats.org/officeDocument/2006/relationships" r:embed="Img_b2586128-f979-4691-b23a-cdb831962413" cstate="print"/>
                          <a:stretch>
                            <a:fillRect/>
                          </a:stretch>
                        </pic:blipFill>
                        <pic:spPr>
                          <a:xfrm>
                            <a:off x="0" y="0"/>
                            <a:ext cx="1066800" cy="523875"/>
                          </a:xfrm>
                          <a:prstGeom prst="rect">
                            <a:avLst/>
                          </a:prstGeom>
                        </pic:spPr>
                      </pic:pic>
                    </a:graphicData>
                  </a:graphic>
                </wp:inline>
              </w:drawing>
            </w:r>
          </w:p>
        </w:tc>
        <w:tc>
          <w:tcPr>
            <w:gridSpan w:val="1"/>
            <w:tcBorders/>
            <w:tcW w:w="225" w:type="dxa"/>
          </w:tcPr>
          <w:p>
            <w:pPr>
              <w:bidi w:val="true"/>
            </w:pPr>
            <w:r>
              <w:rPr>
                <w:rtl w:val="true"/>
              </w:rPr>
              <w:t xml:space="preserve"> </w:t>
            </w:r>
          </w:p>
        </w:tc>
        <w:tc>
          <w:tcPr>
            <w:gridSpan w:val="1"/>
            <w:tcBorders>
              <w:top w:val="single" w:sz="0" w:space="2"/>
            </w:tcBorders>
            <w:tcW w:w="2565" w:type="dxa"/>
          </w:tcPr>
          <w:p>
            <w:pPr>
              <w:bidi w:val="true"/>
              <w:jc w:val="center"/>
            </w:pPr>
            <w:r>
              <w:rPr>
                <w:rtl w:val="true"/>
              </w:rPr>
              <w:drawing>
                <wp:inline xmlns:wp="http://schemas.openxmlformats.org/drawingml/2006/wordprocessingDrawing" distT="0" distB="0" distL="0" distR="0">
                  <wp:extent cx="1695450" cy="1047750"/>
                  <wp:docPr id="1" name="Img_e3615bb9-c85f-4b82-bba1-3a8f2d02c184" descr="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pic:nvPicPr>
                        <pic:blipFill>
                          <a:blip xmlns:r="http://schemas.openxmlformats.org/officeDocument/2006/relationships" r:embed="Img_e3615bb9-c85f-4b82-bba1-3a8f2d02c184" cstate="print"/>
                          <a:stretch>
                            <a:fillRect/>
                          </a:stretch>
                        </pic:blipFill>
                        <pic:spPr>
                          <a:xfrm>
                            <a:off x="0" y="0"/>
                            <a:ext cx="1695450" cy="1047750"/>
                          </a:xfrm>
                          <a:prstGeom prst="rect">
                            <a:avLst/>
                          </a:prstGeom>
                        </pic:spPr>
                      </pic:pic>
                    </a:graphicData>
                  </a:graphic>
                </wp:inline>
              </w:drawing>
            </w:r>
          </w:p>
        </w:tc>
      </w:tr>
      <w:tr>
        <w:tc>
          <w:tcPr>
            <w:gridSpan w:val="1"/>
            <w:tcBorders>
              <w:top w:val="single" w:sz="0" w:space="2"/>
            </w:tcBorders>
            <w:tcW w:w="2955" w:type="dxa"/>
          </w:tcPr>
          <w:p>
            <w:pPr>
              <w:bidi w:val="true"/>
              <w:jc w:val="center"/>
            </w:pPr>
            <w:r>
              <w:rPr>
                <w:b w:val="true"/>
                <w:bCs w:val="true"/>
                <w:rtl w:val="true"/>
              </w:rPr>
              <w:t xml:space="preserve">דר' ע. זרנקין, שופט</w:t>
            </w:r>
          </w:p>
          <w:p>
            <w:pPr>
              <w:bidi w:val="true"/>
              <w:jc w:val="center"/>
            </w:pPr>
            <w:r>
              <w:rPr>
                <w:b w:val="true"/>
                <w:bCs w:val="true"/>
                <w:rtl w:val="true"/>
              </w:rPr>
              <w:t xml:space="preserve">[אב"ד]</w:t>
            </w:r>
          </w:p>
        </w:tc>
        <w:tc>
          <w:tcPr>
            <w:gridSpan w:val="1"/>
            <w:tcBorders/>
            <w:tcW w:w="225" w:type="dxa"/>
          </w:tcPr>
          <w:p>
            <w:pPr>
              <w:bidi w:val="true"/>
            </w:pPr>
            <w:r>
              <w:rPr>
                <w:rtl w:val="true"/>
              </w:rPr>
              <w:t xml:space="preserve"> </w:t>
            </w:r>
          </w:p>
        </w:tc>
        <w:tc>
          <w:tcPr>
            <w:gridSpan w:val="1"/>
            <w:tcBorders>
              <w:top w:val="single" w:sz="0" w:space="2"/>
            </w:tcBorders>
            <w:tcW w:w="2505" w:type="dxa"/>
          </w:tcPr>
          <w:p>
            <w:pPr>
              <w:bidi w:val="true"/>
              <w:jc w:val="center"/>
            </w:pPr>
            <w:r>
              <w:rPr>
                <w:b w:val="true"/>
                <w:bCs w:val="true"/>
                <w:rtl w:val="true"/>
              </w:rPr>
              <w:t xml:space="preserve">ר. פוקס, שופטת</w:t>
            </w:r>
          </w:p>
        </w:tc>
        <w:tc>
          <w:tcPr>
            <w:gridSpan w:val="1"/>
            <w:tcBorders/>
            <w:tcW w:w="225" w:type="dxa"/>
          </w:tcPr>
          <w:p>
            <w:pPr>
              <w:bidi w:val="true"/>
            </w:pPr>
            <w:r>
              <w:rPr>
                <w:rtl w:val="true"/>
              </w:rPr>
              <w:t xml:space="preserve"> </w:t>
            </w:r>
          </w:p>
        </w:tc>
        <w:tc>
          <w:tcPr>
            <w:gridSpan w:val="1"/>
            <w:tcBorders>
              <w:top w:val="single" w:sz="0" w:space="2"/>
            </w:tcBorders>
            <w:tcW w:w="2565" w:type="dxa"/>
          </w:tcPr>
          <w:p>
            <w:pPr>
              <w:bidi w:val="true"/>
              <w:jc w:val="center"/>
            </w:pPr>
            <w:r>
              <w:rPr>
                <w:b w:val="true"/>
                <w:bCs w:val="true"/>
                <w:rtl w:val="true"/>
              </w:rPr>
              <w:t xml:space="preserve">ח. שרעבי, שופט</w:t>
            </w:r>
          </w:p>
        </w:tc>
      </w:tr>
    </w:tbl>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eebb73f83b7d4427">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b7846c4d-5833-4525-803f-67e038d6d0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b7846c4d-5833-4525-803f-67e038d6d035"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41ad1ac3c1c349d0" /><Relationship Type="http://schemas.openxmlformats.org/officeDocument/2006/relationships/image" Target="/media/image2.jpg" Id="Img_d0b31337-97cb-4777-991f-365a52c31c47" /><Relationship Type="http://schemas.openxmlformats.org/officeDocument/2006/relationships/image" Target="/media/image3.jpg" Id="Img_a22ff1dc-16b8-4cd9-98f5-44697615d949" /><Relationship Type="http://schemas.openxmlformats.org/officeDocument/2006/relationships/image" Target="/media/image4.jpg" Id="Img_b2586128-f979-4691-b23a-cdb831962413" /><Relationship Type="http://schemas.openxmlformats.org/officeDocument/2006/relationships/image" Target="/media/image5.jpg" Id="Img_e3615bb9-c85f-4b82-bba1-3a8f2d02c184" /><Relationship Type="http://schemas.openxmlformats.org/officeDocument/2006/relationships/footer" Target="/word/footer.xml" Id="Rf2de25e7f53a4a45" /></Relationships>
</file>

<file path=word/_rels/footer.xml.rels>&#65279;<?xml version="1.0" encoding="utf-8"?><Relationships xmlns="http://schemas.openxmlformats.org/package/2006/relationships"><Relationship Type="http://schemas.openxmlformats.org/officeDocument/2006/relationships/hyperlink" Target="/" TargetMode="External" Id="Reebb73f83b7d4427" /></Relationships>
</file>

<file path=word/_rels/header.xml.rels>&#65279;<?xml version="1.0" encoding="utf-8"?><Relationships xmlns="http://schemas.openxmlformats.org/package/2006/relationships"><Relationship Type="http://schemas.openxmlformats.org/officeDocument/2006/relationships/image" Target="/media/image.jpg" Id="Img_b7846c4d-5833-4525-803f-67e038d6d035" /></Relationships>
</file>