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9189b218e7f4553"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a982679b201d443f"/>
      <w:headerReference xmlns:r="http://schemas.openxmlformats.org/officeDocument/2006/relationships" w:type="default" r:id="R6e4360c611cf4dd5"/>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דין ארצי לעבודה בירושלים</w:t>
            </w:r>
          </w:p>
        </w:tc>
      </w:tr>
      <w:tr>
        <w:tc>
          <w:tcPr>
            <w:gridSpan w:val="3"/>
            <w:tcBorders/>
          </w:tcPr>
          <w:p>
            <w:pPr>
              <w:bidi w:val="true"/>
            </w:pPr>
            <w:br/>
          </w:p>
        </w:tc>
      </w:tr>
      <w:tr>
        <w:tc>
          <w:tcPr>
            <w:gridSpan w:val="2"/>
            <w:tcBorders/>
          </w:tcPr>
          <w:p>
            <w:pPr>
              <w:bidi w:val="true"/>
            </w:pPr>
            <w:r>
              <w:rPr>
                <w:rtl w:val="true"/>
              </w:rPr>
              <w:t xml:space="preserve">מ.ג. נ' המוסד לביטוח לאומי </w:t>
            </w:r>
          </w:p>
        </w:tc>
        <w:tc>
          <w:tcPr>
            <w:gridSpan w:val="1"/>
            <w:tcBorders/>
            <w:tcW w:w="1500" w:type="pct"/>
          </w:tcPr>
          <w:p>
            <w:pPr>
              <w:bidi w:val="true"/>
              <w:jc w:val="right"/>
            </w:pPr>
            <w:r>
              <w:rPr>
                <w:rtl w:val="true"/>
              </w:rPr>
              <w:t xml:space="preserve">22 ינו 2019</w:t>
            </w:r>
            <w:br/>
            <w:r>
              <w:rPr>
                <w:rtl w:val="true"/>
              </w:rPr>
              <w:t xml:space="preserve">27311-10-16</w:t>
            </w:r>
          </w:p>
        </w:tc>
      </w:tr>
      <w:tr>
        <w:tc>
          <w:tcPr>
            <w:gridSpan w:val="3"/>
            <w:tcBorders/>
          </w:tcPr>
          <w:p>
            <w:pPr>
              <w:bidi w:val="true"/>
            </w:pPr>
            <w:br/>
          </w:p>
        </w:tc>
      </w:tr>
      <w:tr>
        <w:tc>
          <w:tcPr>
            <w:gridSpan w:val="1"/>
            <w:tcBorders/>
            <w:tcW w:w="1500" w:type="pct"/>
          </w:tcPr>
          <w:p>
            <w:pPr>
              <w:bidi w:val="true"/>
            </w:pPr>
            <w:r>
              <w:rPr>
                <w:b w:val="true"/>
                <w:bCs w:val="true"/>
                <w:rtl w:val="true"/>
              </w:rPr>
              <w:t xml:space="preserve">הרכב השופטים </w:t>
            </w:r>
          </w:p>
        </w:tc>
        <w:tc>
          <w:tcPr>
            <w:gridSpan w:val="2"/>
            <w:tcBorders/>
          </w:tcPr>
          <w:p>
            <w:pPr>
              <w:bidi w:val="true"/>
            </w:pPr>
            <w:r>
              <w:rPr>
                <w:rtl w:val="true"/>
              </w:rPr>
              <w:t xml:space="preserve">1. הנשיאה ורדה וירט ליבנה</w:t>
            </w:r>
            <w:br/>
            <w:r>
              <w:rPr>
                <w:rtl w:val="true"/>
              </w:rPr>
              <w:t xml:space="preserve">2. סגן הנשיאה אילן איטח</w:t>
            </w:r>
            <w:br/>
            <w:r>
              <w:rPr>
                <w:rtl w:val="true"/>
              </w:rPr>
              <w:t xml:space="preserve">3. השופטת לאה גליקסמן</w:t>
            </w:r>
            <w:br/>
          </w:p>
        </w:tc>
      </w:tr>
      <w:tr>
        <w:tc>
          <w:tcPr>
            <w:gridSpan w:val="3"/>
            <w:tcBorders/>
          </w:tcPr>
          <w:p>
            <w:pPr>
              <w:bidi w:val="true"/>
            </w:pPr>
            <w:br/>
          </w:p>
        </w:tc>
      </w:tr>
      <w:tr>
        <w:tc>
          <w:tcPr>
            <w:gridSpan w:val="1"/>
            <w:tcBorders/>
          </w:tcPr>
          <w:p>
            <w:pPr>
              <w:bidi w:val="true"/>
            </w:pPr>
            <w:r>
              <w:rPr>
                <w:b w:val="true"/>
                <w:bCs w:val="true"/>
                <w:rtl w:val="true"/>
              </w:rPr>
              <w:t xml:space="preserve">המערער</w:t>
            </w:r>
          </w:p>
        </w:tc>
        <w:tc>
          <w:tcPr>
            <w:gridSpan w:val="2"/>
            <w:tcBorders/>
          </w:tcPr>
          <w:p>
            <w:pPr>
              <w:bidi w:val="true"/>
            </w:pPr>
            <w:r>
              <w:rPr>
                <w:rtl w:val="true"/>
              </w:rPr>
              <w:t xml:space="preserve">מ.ג.</w:t>
            </w:r>
            <w:br/>
            <w:r>
              <w:rPr>
                <w:rtl w:val="true"/>
              </w:rPr>
              <w:t xml:space="preserve">ע"י עו"ד ניסים בר כוכב ועו"ד אריג' מטאנס מוסא</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המשיב</w:t>
            </w:r>
          </w:p>
        </w:tc>
        <w:tc>
          <w:tcPr>
            <w:gridSpan w:val="2"/>
            <w:tcBorders/>
          </w:tcPr>
          <w:p>
            <w:pPr>
              <w:bidi w:val="true"/>
            </w:pPr>
            <w:r>
              <w:rPr>
                <w:rtl w:val="true"/>
              </w:rPr>
              <w:t xml:space="preserve">המוסד לביטוח לאומי</w:t>
            </w:r>
            <w:br/>
            <w:r>
              <w:rPr>
                <w:rtl w:val="true"/>
              </w:rPr>
              <w:t xml:space="preserve">ע"י עו"ד עדי כהן ועו"ד אמין הגר</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ind w:right="420"/>
        <w:jc w:val="both"/>
      </w:pPr>
      <w:r>
        <w:rPr>
          <w:rtl w:val="true"/>
          <w:sz w:val="28"/>
          <w:szCs w:val="28"/>
        </w:rPr>
        <w:t xml:space="preserve"> </w:t>
      </w:r>
    </w:p>
    <w:p>
      <w:pPr>
        <w:bidi w:val="true"/>
        <w:ind w:right="420"/>
        <w:jc w:val="both"/>
      </w:pPr>
      <w:r>
        <w:rPr>
          <w:b w:val="true"/>
          <w:bCs w:val="true"/>
          <w:u w:val="single"/>
          <w:rtl w:val="true"/>
        </w:rPr>
        <w:t xml:space="preserve">השופטת לאה גליקסמן</w:t>
      </w:r>
    </w:p>
    <w:p>
      <w:pPr>
        <w:bidi w:val="true"/>
        <w:numPr>
          <w:ilvl w:val="0"/>
          <w:numId w:val="1"/>
        </w:numPr>
      </w:pPr>
      <w:r>
        <w:rPr>
          <w:rtl w:val="true"/>
          <w:sz w:val="28"/>
          <w:szCs w:val="28"/>
        </w:rPr>
        <w:t xml:space="preserve">לפנינו ערעור על פסק דינו של בית הדין האזורי חיפה (סגנית הנשיא איטה קציר ונציגי הציבור מר נפתלי פאר ומר אורי קידר; ב"ל 30324-03-15), שבו נדחתה תביעתו של המערער להכרה בטנטון כפגיעה בעבודה.</w:t>
      </w:r>
      <w:r>
        <w:rPr>
          <w:rtl w:val="true"/>
          <w:sz w:val="28"/>
          <w:szCs w:val="28"/>
        </w:rPr>
        <w:t xml:space="preserve"> </w:t>
      </w:r>
      <w:r>
        <w:rPr>
          <w:b w:val="true"/>
          <w:bCs w:val="true"/>
          <w:u w:val="single"/>
          <w:rtl w:val="true"/>
        </w:rPr>
        <w:t xml:space="preserve">הרקע לערעור</w:t>
      </w:r>
      <w:r>
        <w:rPr>
          <w:b w:val="true"/>
          <w:bCs w:val="true"/>
          <w:rtl w:val="true"/>
        </w:rPr>
        <w:t xml:space="preserve">:</w:t>
      </w:r>
    </w:p>
    <w:p>
      <w:pPr>
        <w:bidi w:val="true"/>
        <w:numPr>
          <w:ilvl w:val="0"/>
          <w:numId w:val="1"/>
        </w:numPr>
      </w:pPr>
      <w:r>
        <w:rPr>
          <w:rtl w:val="true"/>
          <w:sz w:val="28"/>
          <w:szCs w:val="28"/>
        </w:rPr>
        <w:t xml:space="preserve">המערער יליד שנת 1966, עבד כמפעיל מלגזה, טרקטורים וציוד חקלאי לרפתות, במשך כ- 17.5 שנה, עד לחודש אוקטובר 2014, והיה חשוף במסגרת עבודתו לרעש מזיק.</w:t>
      </w:r>
    </w:p>
    <w:p>
      <w:pPr>
        <w:bidi w:val="true"/>
        <w:numPr>
          <w:ilvl w:val="0"/>
          <w:numId w:val="1"/>
        </w:numPr>
      </w:pPr>
      <w:r>
        <w:rPr>
          <w:rtl w:val="true"/>
          <w:sz w:val="28"/>
          <w:szCs w:val="28"/>
        </w:rPr>
        <w:t xml:space="preserve">המערער הגיש למוסד לביטוח לאומי בחודש דצמבר 2013 תביעה להכרה בליקוי שמיעה וטנטון, והמוסד דחה את תביעתו.</w:t>
      </w:r>
    </w:p>
    <w:p>
      <w:pPr>
        <w:bidi w:val="true"/>
        <w:numPr>
          <w:ilvl w:val="0"/>
          <w:numId w:val="1"/>
        </w:numPr>
      </w:pPr>
      <w:r>
        <w:rPr>
          <w:rtl w:val="true"/>
          <w:sz w:val="28"/>
          <w:szCs w:val="28"/>
        </w:rPr>
        <w:t xml:space="preserve">בהמשך לכך, הגיש המערער בבית הדין תביעה להכרה בליקוי שמיעה ובטנטון כפגיעה בעבודה. בית הדין האזורי מינה מומחה רפואי - ד"ר ראובן בן טובים. על יסוד חוות דעתו של המומחה הרפואי נקבע בפסק דין מיום 9.11.2015 (להלן – פסק הדין הראשון) שיש להכיר בליקוי השמיעה כפגיעה בעבודה.</w:t>
      </w:r>
    </w:p>
    <w:p>
      <w:pPr>
        <w:bidi w:val="true"/>
        <w:numPr>
          <w:ilvl w:val="0"/>
          <w:numId w:val="1"/>
        </w:numPr>
      </w:pPr>
      <w:r>
        <w:rPr>
          <w:rtl w:val="true"/>
          <w:sz w:val="28"/>
          <w:szCs w:val="28"/>
        </w:rPr>
        <w:t xml:space="preserve">בכל הנוגע לטנטון קבע המומחה הרפואי בחוות דעתו הראשונה כך:</w:t>
      </w:r>
      <w:r>
        <w:rPr>
          <w:b w:val="true"/>
          <w:bCs w:val="true"/>
          <w:rtl w:val="true"/>
        </w:rPr>
        <w:t xml:space="preserve">ט)</w:t>
      </w:r>
      <w:r>
        <w:rPr>
          <w:b w:val="true"/>
          <w:bCs w:val="true"/>
          <w:rtl w:val="true"/>
        </w:rPr>
        <w:t xml:space="preserve">האם כושר השמיעה של התובע בתדירויות הגבוהות פחת בשיעור של 25 דציבל לפחות בכל אחת מהאוזניים בתדירויות של 3000 ו-4000 הרץ? או לאו.</w:t>
      </w:r>
      <w:r>
        <w:rPr>
          <w:i w:val="true"/>
          <w:iCs w:val="true"/>
          <w:rtl w:val="true"/>
        </w:rPr>
        <w:t xml:space="preserve">"עפ"י דווח מכון השמיעה של אוניברסיטת חיפה אין עדות לטינטון כרוני האופייני לחבלה אקוסטית על רקע רעש.</w:t>
      </w:r>
      <w:r>
        <w:rPr>
          <w:i w:val="true"/>
          <w:iCs w:val="true"/>
          <w:rtl w:val="true"/>
        </w:rPr>
        <w:t xml:space="preserve">ואולם, ובהערת סוגריים, וכידוע, בדיקת מאפיין טינטון (</w:t>
      </w:r>
      <w:r>
        <w:rPr>
          <w:i w:val="true"/>
          <w:iCs w:val="true"/>
          <w:rtl w:val="true"/>
        </w:rPr>
        <w:t xml:space="preserve">Pitch Matching</w:t>
      </w:r>
      <w:r>
        <w:rPr>
          <w:i w:val="true"/>
          <w:iCs w:val="true"/>
          <w:rtl w:val="true"/>
        </w:rPr>
        <w:t xml:space="preserve">) </w:t>
      </w:r>
      <w:r>
        <w:rPr>
          <w:u w:val="single"/>
          <w:i w:val="true"/>
          <w:iCs w:val="true"/>
          <w:rtl w:val="true"/>
        </w:rPr>
        <w:t xml:space="preserve">אינה קובעת</w:t>
      </w:r>
      <w:r>
        <w:rPr>
          <w:i w:val="true"/>
          <w:iCs w:val="true"/>
          <w:rtl w:val="true"/>
        </w:rPr>
        <w:t xml:space="preserve"> אם לחיוב ואם לשלילה את קיומו של תסמין הטינטון אם לאו (וזאת עקב מגבלותיה וחסרונותיה הידועים, והלא מעטים – יש לאמור). לפיכך, בד"כ הינה מהווה </w:t>
      </w:r>
      <w:r>
        <w:rPr>
          <w:u w:val="single"/>
          <w:i w:val="true"/>
          <w:iCs w:val="true"/>
          <w:rtl w:val="true"/>
        </w:rPr>
        <w:t xml:space="preserve">בדיקת עזר נוספת</w:t>
      </w:r>
      <w:r>
        <w:rPr>
          <w:i w:val="true"/>
          <w:iCs w:val="true"/>
          <w:rtl w:val="true"/>
        </w:rPr>
        <w:t xml:space="preserve"> בהערכת הטינטון (וכנראה זו הסיבה שאינה מוזכרת </w:t>
      </w:r>
      <w:r>
        <w:rPr>
          <w:u w:val="single"/>
          <w:i w:val="true"/>
          <w:iCs w:val="true"/>
          <w:rtl w:val="true"/>
        </w:rPr>
        <w:t xml:space="preserve">בתנאי</w:t>
      </w:r>
      <w:r>
        <w:rPr>
          <w:i w:val="true"/>
          <w:iCs w:val="true"/>
          <w:rtl w:val="true"/>
        </w:rPr>
        <w:t xml:space="preserve"> סעיף 84(א)(ב) ו-3.2 הידוע)".</w:t>
      </w:r>
      <w:r>
        <w:rPr>
          <w:b w:val="true"/>
          <w:bCs w:val="true"/>
          <w:rtl w:val="true"/>
        </w:rPr>
        <w:t xml:space="preserve">י)</w:t>
      </w:r>
      <w:r>
        <w:rPr>
          <w:b w:val="true"/>
          <w:bCs w:val="true"/>
          <w:rtl w:val="true"/>
        </w:rPr>
        <w:t xml:space="preserve">האם בדיקת מאפייני הטנטון אופיינית לנזק מרעש כדרישת סעיף 84א(ב) לחוק?</w:t>
      </w:r>
      <w:r>
        <w:rPr>
          <w:i w:val="true"/>
          <w:iCs w:val="true"/>
          <w:rtl w:val="true"/>
        </w:rPr>
        <w:t xml:space="preserve">"</w:t>
      </w:r>
      <w:r>
        <w:rPr>
          <w:rtl w:val="true"/>
          <w:sz w:val="28"/>
          <w:szCs w:val="28"/>
        </w:rPr>
        <w:t xml:space="preserve">לא ניתן מענה (למעשה, התשובה לשאלה ט' הינה התשובה לשאלה זו, ולכן, ככל הנראה, לא ניתן מענה לשאלה י') ".</w:t>
      </w:r>
      <w:r>
        <w:rPr>
          <w:b w:val="true"/>
          <w:bCs w:val="true"/>
          <w:rtl w:val="true"/>
        </w:rPr>
        <w:t xml:space="preserve">יא)</w:t>
      </w:r>
      <w:r>
        <w:rPr>
          <w:b w:val="true"/>
          <w:bCs w:val="true"/>
          <w:rtl w:val="true"/>
        </w:rPr>
        <w:t xml:space="preserve">מתי תועד הטנטון לראשונה ברשומה הרפואית?</w:t>
      </w:r>
      <w:r>
        <w:rPr>
          <w:i w:val="true"/>
          <w:iCs w:val="true"/>
          <w:rtl w:val="true"/>
        </w:rPr>
        <w:t xml:space="preserve">"</w:t>
      </w:r>
      <w:r>
        <w:rPr>
          <w:rtl w:val="true"/>
          <w:sz w:val="28"/>
          <w:szCs w:val="28"/>
        </w:rPr>
        <w:t xml:space="preserve">לא ניתן מענה".</w:t>
      </w:r>
      <w:r>
        <w:rPr>
          <w:b w:val="true"/>
          <w:bCs w:val="true"/>
          <w:rtl w:val="true"/>
        </w:rPr>
        <w:t xml:space="preserve">יב)</w:t>
      </w:r>
      <w:r>
        <w:rPr>
          <w:b w:val="true"/>
          <w:bCs w:val="true"/>
          <w:rtl w:val="true"/>
        </w:rPr>
        <w:t xml:space="preserve">האם יש בכרטיסו הרפואי של התובע רישומים על פניות חוזרות ונשנות לטיפול רפואי בשל פגיעה בתפקוד עקב טנטון וזאת עובר למועד הגשת תביעתו של התובע לנתבע, כלומר, לפני אוקטובר 2014, ככל שכן באילו תאריכים ובאילו מסמכים מתועדות פניות אלה?</w:t>
      </w:r>
      <w:r>
        <w:rPr>
          <w:i w:val="true"/>
          <w:iCs w:val="true"/>
          <w:rtl w:val="true"/>
        </w:rPr>
        <w:t xml:space="preserve">"אכן.</w:t>
      </w:r>
      <w:r>
        <w:rPr>
          <w:i w:val="true"/>
          <w:iCs w:val="true"/>
          <w:rtl w:val="true"/>
        </w:rPr>
        <w:t xml:space="preserve">ב-10.10.13 – ד"ר שלומי.</w:t>
      </w:r>
      <w:r>
        <w:rPr>
          <w:i w:val="true"/>
          <w:iCs w:val="true"/>
          <w:rtl w:val="true"/>
        </w:rPr>
        <w:t xml:space="preserve">ב-9.1.13, 1.5.13, 1.5.15, 4.12.13 - ד"ר חביבאללה / א.ג.ג.</w:t>
      </w:r>
      <w:r>
        <w:rPr>
          <w:i w:val="true"/>
          <w:iCs w:val="true"/>
          <w:rtl w:val="true"/>
        </w:rPr>
        <w:t xml:space="preserve">וב- 28.4.15 ד"ר רוזנברג – א.א.ג."</w:t>
      </w:r>
    </w:p>
    <w:p>
      <w:pPr>
        <w:bidi w:val="true"/>
        <w:numPr>
          <w:ilvl w:val="0"/>
          <w:numId w:val="1"/>
        </w:numPr>
      </w:pPr>
      <w:r>
        <w:rPr>
          <w:rtl w:val="true"/>
          <w:sz w:val="28"/>
          <w:szCs w:val="28"/>
        </w:rPr>
        <w:t xml:space="preserve">בפסק הדין הראשון קבע בית הדין האזורי כי יש לדחות את התביעה להכרה בטנטון כפגיעה בעבודה, נוכח העובדה ש"המומחה קבע באופן מפורש, כי אין עדות לטנטון כרוני האופייני לחבלה אקוסטית על רקע של חשיפה לרעש מזיק".</w:t>
      </w:r>
    </w:p>
    <w:p>
      <w:pPr>
        <w:bidi w:val="true"/>
        <w:numPr>
          <w:ilvl w:val="0"/>
          <w:numId w:val="1"/>
        </w:numPr>
      </w:pPr>
      <w:r>
        <w:rPr>
          <w:rtl w:val="true"/>
          <w:sz w:val="28"/>
          <w:szCs w:val="28"/>
        </w:rPr>
        <w:t xml:space="preserve">המערער הגיש ערעור על פסק הדין הראשון (עב"ל 20013-12-15). הצדדים הגיעו להסכמה שלפיה עניינו של המערער יוחזר לבית הדין האזורי וזאת לאור העובדה שתשובותיו של המומחה הרפואי בעניין הטנטון אינן בהירות דיין, על מנת שיפנה למומחה הרפואי, ד"ר בן טובים, שאלות הבהרה כדלקמן:</w:t>
      </w:r>
      <w:r>
        <w:rPr>
          <w:b w:val="true"/>
          <w:bCs w:val="true"/>
          <w:i w:val="true"/>
          <w:iCs w:val="true"/>
          <w:rtl w:val="true"/>
        </w:rPr>
        <w:t xml:space="preserve">"...המומחה יתבקש להשיב לשאלות ט' ו- י' שהופנו בהחלטת בית הדין האזורי מיום 5.7.15 וכן ישיב לשאלה מה מסקנתו מהאמור בחוות דעתו בסעיף ט' בשאלה האם יש קשר סיבתי בין הטנטון לבין ליקוי בשמיעה שהוכר כפגיעה בעבודה</w:t>
      </w:r>
      <w:r>
        <w:rPr>
          <w:i w:val="true"/>
          <w:iCs w:val="true"/>
          <w:rtl w:val="true"/>
        </w:rPr>
        <w:t xml:space="preserve">".</w:t>
      </w:r>
    </w:p>
    <w:p>
      <w:pPr>
        <w:bidi w:val="true"/>
        <w:numPr>
          <w:ilvl w:val="0"/>
          <w:numId w:val="1"/>
        </w:numPr>
      </w:pPr>
      <w:r>
        <w:rPr>
          <w:rtl w:val="true"/>
          <w:sz w:val="28"/>
          <w:szCs w:val="28"/>
        </w:rPr>
        <w:t xml:space="preserve">בהמשך לפסק דינו של בית הדין הארצי בעב"ל 20013-12-15 השיב המומחה כמפורט להלן:</w:t>
      </w:r>
      <w:r>
        <w:rPr>
          <w:b w:val="true"/>
          <w:bCs w:val="true"/>
          <w:rtl w:val="true"/>
        </w:rPr>
        <w:t xml:space="preserve">ט)</w:t>
      </w:r>
      <w:r>
        <w:rPr>
          <w:b w:val="true"/>
          <w:bCs w:val="true"/>
          <w:rtl w:val="true"/>
        </w:rPr>
        <w:t xml:space="preserve">האם כושר השמיעה של התובע בתדירויות הקבועות פחת בשיעור של 25 לפחות בכל אחת מהאוזניים בתדירויות של 3000 ו-4000 הרץ, או לאו?</w:t>
      </w:r>
      <w:r>
        <w:rPr>
          <w:i w:val="true"/>
          <w:iCs w:val="true"/>
          <w:rtl w:val="true"/>
        </w:rPr>
        <w:t xml:space="preserve">"אכן. "</w:t>
      </w:r>
      <w:r>
        <w:rPr>
          <w:b w:val="true"/>
          <w:bCs w:val="true"/>
          <w:rtl w:val="true"/>
        </w:rPr>
        <w:t xml:space="preserve">י)</w:t>
      </w:r>
      <w:r>
        <w:rPr>
          <w:b w:val="true"/>
          <w:bCs w:val="true"/>
          <w:rtl w:val="true"/>
        </w:rPr>
        <w:t xml:space="preserve">האם בדיקת מאפייני הטנטון אופיינית לנזק מרעש, כדרישת סעיף 84א(ב) לחוק, או לאו?</w:t>
      </w:r>
      <w:r>
        <w:rPr>
          <w:i w:val="true"/>
          <w:iCs w:val="true"/>
          <w:rtl w:val="true"/>
        </w:rPr>
        <w:t xml:space="preserve">"לאו. אין עדות לטנטון כרוני האופייני לחבלה אקוסטית על רקע רעש – וזאת עפ"י תוצאות הבדיקה במכון השמיעה /אוניברסיטת חיפה מ- 19.1.14." </w:t>
      </w:r>
      <w:r>
        <w:rPr>
          <w:b w:val="true"/>
          <w:bCs w:val="true"/>
          <w:rtl w:val="true"/>
        </w:rPr>
        <w:t xml:space="preserve">יא)</w:t>
      </w:r>
      <w:r>
        <w:rPr>
          <w:b w:val="true"/>
          <w:bCs w:val="true"/>
          <w:rtl w:val="true"/>
        </w:rPr>
        <w:t xml:space="preserve">מה מסקנתך מהאמור בחוות דעתך, בסעיף ט' לעיל – האם קיים קשר סיבתי בין הטנטון לבין ליקוי השמיעה שהוכר כפגיעה בעבודה?</w:t>
      </w:r>
      <w:r>
        <w:rPr>
          <w:i w:val="true"/>
          <w:iCs w:val="true"/>
          <w:rtl w:val="true"/>
        </w:rPr>
        <w:t xml:space="preserve">"אכן כן. קרי, קיים קשר סיבתי בין הטנטון לבין ליקויי השמיעה (שפורטו בחוו"ד) והוכרו כפגיעה בעבודה." </w:t>
      </w:r>
    </w:p>
    <w:p>
      <w:pPr>
        <w:bidi w:val="true"/>
        <w:numPr>
          <w:ilvl w:val="0"/>
          <w:numId w:val="1"/>
        </w:numPr>
      </w:pPr>
      <w:r>
        <w:rPr>
          <w:rtl w:val="true"/>
          <w:sz w:val="28"/>
          <w:szCs w:val="28"/>
        </w:rPr>
        <w:t xml:space="preserve">בפסק הדין מושא הערעור דחה בית הדין האזורי את התביעה מנימוקים אלה:</w:t>
      </w:r>
    </w:p>
    <w:p>
      <w:pPr>
        <w:bidi w:val="true"/>
        <w:numPr>
          <w:ilvl w:val="1"/>
          <w:numId w:val="1"/>
        </w:numPr>
      </w:pPr>
      <w:r>
        <w:rPr>
          <w:rtl w:val="true"/>
          <w:sz w:val="28"/>
          <w:szCs w:val="28"/>
        </w:rPr>
        <w:t xml:space="preserve">סעיף 84א(ב) לחוק הביטוח הלאומי [נוסח משולב], תשנ"ה – 1995 (להלן – החוק), קובע במפורש כי צריך להיות טנטון תמידי לנפגע בעבודה עקב חשיפה לרעש ולאחר מכן נדרש קיומם של תנאים נוספים שבהתקיימם יוכר הנפגע כסובל מטנטון.</w:t>
      </w:r>
    </w:p>
    <w:p>
      <w:pPr>
        <w:bidi w:val="true"/>
        <w:numPr>
          <w:ilvl w:val="1"/>
          <w:numId w:val="1"/>
        </w:numPr>
      </w:pPr>
      <w:r>
        <w:rPr>
          <w:rtl w:val="true"/>
          <w:sz w:val="28"/>
          <w:szCs w:val="28"/>
        </w:rPr>
        <w:t xml:space="preserve">במקרה הנוכחי המערער אינו סובל מטנטון תמידי שהינו למעשה טנטון כרוני האופייני לחבלה אקוסטית על רקע חשיפה לרעש מזיק בעבודה. יחד עם זאת, המערער כן סובל מטנטון שקשור לתנאי עבודתו בחשיפה לרעש מזיק, אך הטנטון לא הגיע בשלב זה לדרגה של טנטון תמידי – כפי שדורש סעיף 84א(ב) לחוק.</w:t>
      </w:r>
    </w:p>
    <w:p>
      <w:pPr>
        <w:bidi w:val="true"/>
        <w:numPr>
          <w:ilvl w:val="1"/>
          <w:numId w:val="1"/>
        </w:numPr>
      </w:pPr>
      <w:r>
        <w:rPr>
          <w:rtl w:val="true"/>
          <w:sz w:val="28"/>
          <w:szCs w:val="28"/>
        </w:rPr>
        <w:t xml:space="preserve">לאור קביעתו המפורשת של המומחה כי אין עדות לטנטון כרוני האופייני לחבלה אקוסטית על רקע של חשיפה לרעש מזיק – התביעה להכרה בטנטון כפגיעה בעבודה נדחית.</w:t>
      </w:r>
      <w:r>
        <w:rPr>
          <w:rtl w:val="true"/>
          <w:sz w:val="28"/>
          <w:szCs w:val="28"/>
        </w:rPr>
        <w:t xml:space="preserve"> </w:t>
      </w:r>
      <w:r>
        <w:rPr>
          <w:b w:val="true"/>
          <w:bCs w:val="true"/>
          <w:u w:val="single"/>
          <w:rtl w:val="true"/>
        </w:rPr>
        <w:t xml:space="preserve">טענות הצדדים בערעור</w:t>
      </w:r>
      <w:r>
        <w:rPr>
          <w:b w:val="true"/>
          <w:bCs w:val="true"/>
          <w:rtl w:val="true"/>
        </w:rPr>
        <w:t xml:space="preserve">:</w:t>
      </w:r>
    </w:p>
    <w:p>
      <w:pPr>
        <w:bidi w:val="true"/>
        <w:numPr>
          <w:ilvl w:val="0"/>
          <w:numId w:val="1"/>
        </w:numPr>
      </w:pPr>
      <w:r>
        <w:rPr>
          <w:b w:val="true"/>
          <w:bCs w:val="true"/>
          <w:rtl w:val="true"/>
        </w:rPr>
        <w:t xml:space="preserve">המערער טען</w:t>
      </w:r>
      <w:r>
        <w:rPr>
          <w:rtl w:val="true"/>
          <w:sz w:val="28"/>
          <w:szCs w:val="28"/>
        </w:rPr>
        <w:t xml:space="preserve"> כי לא היה מקום להכריע בעניין "טנטון תמידי" על יסוד תשובתו של המומחה הרפואי לשאלה י' בחוות הדעת השנייה בלבד, בהתעלם משאר החומר הרפואי בתיק ובפרט לעניין הפניות החוזרות ונשנות ותוכנן, שבהן התלונן המערער על טנטון תמידי באוזניים; לא היה מקום להכריע בהליך על יסוד בדיקת מאפייני טנטון של אוניברסיטת חיפה בלבד, שנערכה מטעם המוסד, נוכח העובדה שמדובר בבדיקת עזר בלתי מחייבת וכחלק מהבירור השמיעתי שעורך המוסד לביטוח לאומי, והיא שנויה במחלוקת בין רופאי אף אוזן גרון למוסד לביטוח לאומי וגם בין רופאי אף אוזן גרון לבין עצמם; בכל מקרה, בדיקת מאפייני טנטון אינה בגדר תנאי סף להכרה בטנטון, וזאת לאור הבעייתיות בבדיקה זו – העדר מדד אובייקטיבי, כאשר לאותו נבדק עשויות להיות תוצאות שונות במועדים שונים. עניין זה נקבע במפורש על ידי המומחה הרפואי בחוות דעתו הראשונה, וגם מתשובתו בחוות דעת השנייה עולה כי תשובתו מתייחסת אך ורק לתוצאות בדיקת מאפייני טנטון ולא לקיומו או העדרו של טנטון.</w:t>
      </w:r>
      <w:r>
        <w:rPr>
          <w:rtl w:val="true"/>
          <w:sz w:val="28"/>
          <w:szCs w:val="28"/>
        </w:rPr>
        <w:t xml:space="preserve">המערער הוסיף וטען כי השאלה שהופנתה אל המומחה הייתה מטעה ו"חוטאת למטרה", שכן לא היה מקום לתחום את המומחה בשאלה בנוגע לקיומו של הטנטון התמידי לתוצאות בדיקת מאפייני הרעש, שהיא כאמור בחוות דעתו של המומחה הרפואי בדיקת עזר שנויה במחלוקת, ולהכריע בהליך על סמך תשובה זו. במקרים רבים, על פי בדיקת מאפייני הרעש אין עדות לטנטון, אך בבחינת תלונות הנפגע ובהתקיים שאר דרישות הסעיף מוכר הטנטון כפגיעה בעבודה. מעבר לכך, ככל שקיים ספק, יש לפרשו לטובת המבוטח.</w:t>
      </w:r>
    </w:p>
    <w:p>
      <w:pPr>
        <w:bidi w:val="true"/>
        <w:numPr>
          <w:ilvl w:val="0"/>
          <w:numId w:val="1"/>
        </w:numPr>
      </w:pPr>
      <w:r>
        <w:rPr>
          <w:b w:val="true"/>
          <w:bCs w:val="true"/>
          <w:rtl w:val="true"/>
        </w:rPr>
        <w:t xml:space="preserve">המוסד טען </w:t>
      </w:r>
      <w:r>
        <w:rPr>
          <w:rtl w:val="true"/>
          <w:sz w:val="28"/>
          <w:szCs w:val="28"/>
        </w:rPr>
        <w:t xml:space="preserve">כי הדרישה לקיומו של טנטון תמידי היא דרישת סף בהתאם לרישא לסעיף 84א(ב) לחוק, וזאת עוד בטרם בדיקת יתר התנאים המנויים בסעיף 84א(ב)(1) – (3) לחוק; לכן, גם אם המומחה הרפואי סבור כי קיים קשר סיבתי בין הטנטון הלא תמידי ממנו סובל המערער לבין תנאי עבודתו, אין המדובר בטנטון תמידי שהמחוקק קבע שניתן להכיר בו בלבד כפגיעה בעבודה; גם על פי פרט 72(ד) לתקנות הביטוח הלאומי (קביעת דרגת נכות לנפגעי עבודה), תשט"ז – 1956, עולה כי ניתן לקבוע נכות רק כאשר מדובר בטנטון תמידי; קביעת קיומו של טנטון תמידי היא עניין רפואי, והמומחה קבע במפורש כי אין עדות לטנטון כרוני האופייני לחבלה אקוסטית על רקע רעש; בפני המומחה הרפואי עמד תיקו הרפואי של המערער לרבות תלונותיו וכן בדיקת מאפייני הטנטון, ואין פגם בכך שהמומחה הרפואי התבסס בחוות דעתו על תוצאות בדיקת העזר של מאפייני הטנטון; בפסיקה נקבע כי יש משקל לבדיקת מאפייני טנטון, ועל כן יש להעבירה למומחה הרפואי [עב"ל (ארצי) 55429-05-15 המוסד לביטוח לאומי – סעיד ח'ריש (4.1.2017)], וכן נפסק כי ניתן לסמוך על ממצאיה לצורך הקביעה אם המבוטח סובל מטנטון תמידי באזניו [עב"ל (ארצי) 63705-03-16 חננאל יצחקייב – המוסד לביטוח לאומי (9.7.2017)].</w:t>
      </w:r>
    </w:p>
    <w:p>
      <w:pPr>
        <w:bidi w:val="true"/>
        <w:numPr>
          <w:ilvl w:val="0"/>
          <w:numId w:val="1"/>
        </w:numPr>
      </w:pPr>
      <w:r>
        <w:rPr>
          <w:rtl w:val="true"/>
          <w:sz w:val="28"/>
          <w:szCs w:val="28"/>
        </w:rPr>
        <w:t xml:space="preserve">עוד נציין, כי לאחר דיון קדם ערעור הודיע המוסד כי הוא מסכים להעביר את עניינו של המערער למומחה רפואי נוסף. ב"כ המערער לא הסכים לכך, והציע להפנות למומחה הרפואי שאלת הבהרה, שבה יתבקש המומחה הרפואי להשיב על יסוד בדיקת מאפייני הטנטון, פניותיו החוזרות ונשנות של המערער וכלל נסיבות התיק "האם מדובר בטנטון כרוני/תמידי האופייני לנזק מרעש" ו - "האם לשיטתך וניסיונך הרפואי התובע עומד בדרישת סעיף 84א(ב) לחוק ויש להכיר בטנטון אם לאו?". המוסד התנגד להפניית שאלת הבהרה כאמור, מהטעם שלפני המומחה הרפואי עמד תיקו הרפואי של המערער לרבות תלונותיו, והמומחה קבע הן בחוות דעתו הראשונה והן בחוות דעתו המשלימה כי "אין עדות לטנטון כרוני האופייני לחבלה אקוסטית על רקע רעש".</w:t>
      </w:r>
      <w:r>
        <w:rPr>
          <w:rtl w:val="true"/>
          <w:sz w:val="28"/>
          <w:szCs w:val="28"/>
        </w:rPr>
        <w:t xml:space="preserve"> </w:t>
      </w:r>
      <w:r>
        <w:rPr>
          <w:rtl w:val="true"/>
          <w:sz w:val="28"/>
          <w:szCs w:val="28"/>
        </w:rPr>
        <w:t xml:space="preserve"> </w:t>
      </w:r>
      <w:r>
        <w:rPr>
          <w:rtl w:val="true"/>
          <w:sz w:val="28"/>
          <w:szCs w:val="28"/>
        </w:rPr>
        <w:t xml:space="preserve"> </w:t>
      </w:r>
      <w:r>
        <w:rPr>
          <w:b w:val="true"/>
          <w:bCs w:val="true"/>
          <w:u w:val="single"/>
          <w:rtl w:val="true"/>
        </w:rPr>
        <w:t xml:space="preserve">הכרעה</w:t>
      </w:r>
      <w:r>
        <w:rPr>
          <w:b w:val="true"/>
          <w:bCs w:val="true"/>
          <w:rtl w:val="true"/>
        </w:rPr>
        <w:t xml:space="preserve">:</w:t>
      </w:r>
    </w:p>
    <w:p>
      <w:pPr>
        <w:bidi w:val="true"/>
        <w:numPr>
          <w:ilvl w:val="0"/>
          <w:numId w:val="1"/>
        </w:numPr>
      </w:pPr>
      <w:r>
        <w:rPr>
          <w:rtl w:val="true"/>
          <w:sz w:val="28"/>
          <w:szCs w:val="28"/>
        </w:rPr>
        <w:t xml:space="preserve">לאחר בחינת טענות הצדדים וכלל החומר שבתיק אנו קובעים כי דין הערעור להתקבל.</w:t>
      </w:r>
    </w:p>
    <w:p>
      <w:pPr>
        <w:bidi w:val="true"/>
        <w:numPr>
          <w:ilvl w:val="0"/>
          <w:numId w:val="1"/>
        </w:numPr>
      </w:pPr>
      <w:r>
        <w:rPr>
          <w:rtl w:val="true"/>
          <w:sz w:val="28"/>
          <w:szCs w:val="28"/>
        </w:rPr>
        <w:t xml:space="preserve">תנאי הסף להכרה בטינטון כ"פגיעה בעבודה" קבועים בסעיף 84א לחוק, שנכנס לתוקף ביום 1.4.2005, כמפורט להלן:</w:t>
      </w:r>
      <w:r>
        <w:rPr>
          <w:rtl w:val="true"/>
          <w:sz w:val="28"/>
          <w:szCs w:val="28"/>
        </w:rPr>
        <w:t xml:space="preserve">(א) אין רואים בליקוי שמיעה שעקב חשיפה לרעש, תוצאה של פגיעה בעבודה אלא אם כן התקיימו כל אלה:</w:t>
      </w:r>
      <w:r>
        <w:rPr>
          <w:i w:val="true"/>
          <w:iCs w:val="true"/>
          <w:rtl w:val="true"/>
        </w:rPr>
        <w:t xml:space="preserve">(1)</w:t>
      </w:r>
      <w:r>
        <w:rPr>
          <w:i w:val="true"/>
          <w:iCs w:val="true"/>
          <w:rtl w:val="true"/>
        </w:rPr>
        <w:t xml:space="preserve">המבוטח</w:t>
      </w:r>
      <w:r>
        <w:rPr>
          <w:i w:val="true"/>
          <w:iCs w:val="true"/>
          <w:rtl w:val="true"/>
        </w:rPr>
        <w:t xml:space="preserve"> </w:t>
      </w:r>
      <w:r>
        <w:rPr>
          <w:i w:val="true"/>
          <w:iCs w:val="true"/>
          <w:rtl w:val="true"/>
        </w:rPr>
        <w:t xml:space="preserve">נחשף</w:t>
      </w:r>
      <w:r>
        <w:rPr>
          <w:i w:val="true"/>
          <w:iCs w:val="true"/>
          <w:rtl w:val="true"/>
        </w:rPr>
        <w:t xml:space="preserve"> </w:t>
      </w:r>
      <w:r>
        <w:rPr>
          <w:i w:val="true"/>
          <w:iCs w:val="true"/>
          <w:rtl w:val="true"/>
        </w:rPr>
        <w:t xml:space="preserve">בעבודתו</w:t>
      </w:r>
      <w:r>
        <w:rPr>
          <w:i w:val="true"/>
          <w:iCs w:val="true"/>
          <w:rtl w:val="true"/>
        </w:rPr>
        <w:t xml:space="preserve"> </w:t>
      </w:r>
      <w:r>
        <w:rPr>
          <w:i w:val="true"/>
          <w:iCs w:val="true"/>
          <w:rtl w:val="true"/>
        </w:rPr>
        <w:t xml:space="preserve">לרעש</w:t>
      </w:r>
      <w:r>
        <w:rPr>
          <w:i w:val="true"/>
          <w:iCs w:val="true"/>
          <w:rtl w:val="true"/>
        </w:rPr>
        <w:t xml:space="preserve"> </w:t>
      </w:r>
      <w:r>
        <w:rPr>
          <w:i w:val="true"/>
          <w:iCs w:val="true"/>
          <w:rtl w:val="true"/>
        </w:rPr>
        <w:t xml:space="preserve">התקפי</w:t>
      </w:r>
      <w:r>
        <w:rPr>
          <w:i w:val="true"/>
          <w:iCs w:val="true"/>
          <w:rtl w:val="true"/>
        </w:rPr>
        <w:t xml:space="preserve"> </w:t>
      </w:r>
      <w:r>
        <w:rPr>
          <w:i w:val="true"/>
          <w:iCs w:val="true"/>
          <w:rtl w:val="true"/>
        </w:rPr>
        <w:t xml:space="preserve">ומתמשך</w:t>
      </w:r>
      <w:r>
        <w:rPr>
          <w:i w:val="true"/>
          <w:iCs w:val="true"/>
          <w:rtl w:val="true"/>
        </w:rPr>
        <w:t xml:space="preserve">, </w:t>
      </w:r>
      <w:r>
        <w:rPr>
          <w:i w:val="true"/>
          <w:iCs w:val="true"/>
          <w:rtl w:val="true"/>
        </w:rPr>
        <w:t xml:space="preserve">העולה</w:t>
      </w:r>
      <w:r>
        <w:rPr>
          <w:i w:val="true"/>
          <w:iCs w:val="true"/>
          <w:rtl w:val="true"/>
        </w:rPr>
        <w:t xml:space="preserve"> </w:t>
      </w:r>
      <w:r>
        <w:rPr>
          <w:i w:val="true"/>
          <w:iCs w:val="true"/>
          <w:rtl w:val="true"/>
        </w:rPr>
        <w:t xml:space="preserve">על</w:t>
      </w:r>
      <w:r>
        <w:rPr>
          <w:i w:val="true"/>
          <w:iCs w:val="true"/>
          <w:rtl w:val="true"/>
        </w:rPr>
        <w:t xml:space="preserve"> </w:t>
      </w:r>
      <w:r>
        <w:rPr>
          <w:i w:val="true"/>
          <w:iCs w:val="true"/>
          <w:rtl w:val="true"/>
        </w:rPr>
        <w:t xml:space="preserve">המותר</w:t>
      </w:r>
      <w:r>
        <w:rPr>
          <w:i w:val="true"/>
          <w:iCs w:val="true"/>
          <w:rtl w:val="true"/>
        </w:rPr>
        <w:t xml:space="preserve"> </w:t>
      </w:r>
      <w:r>
        <w:rPr>
          <w:i w:val="true"/>
          <w:iCs w:val="true"/>
          <w:rtl w:val="true"/>
        </w:rPr>
        <w:t xml:space="preserve">לפי</w:t>
      </w:r>
      <w:r>
        <w:rPr>
          <w:i w:val="true"/>
          <w:iCs w:val="true"/>
          <w:rtl w:val="true"/>
        </w:rPr>
        <w:t xml:space="preserve"> </w:t>
      </w:r>
      <w:r>
        <w:rPr>
          <w:i w:val="true"/>
          <w:iCs w:val="true"/>
          <w:rtl w:val="true"/>
        </w:rPr>
        <w:t xml:space="preserve">סעיף</w:t>
      </w:r>
      <w:r>
        <w:rPr>
          <w:i w:val="true"/>
          <w:iCs w:val="true"/>
          <w:rtl w:val="true"/>
        </w:rPr>
        <w:t xml:space="preserve"> 173 </w:t>
      </w:r>
      <w:r>
        <w:rPr>
          <w:i w:val="true"/>
          <w:iCs w:val="true"/>
          <w:rtl w:val="true"/>
        </w:rPr>
        <w:t xml:space="preserve">בפקודת</w:t>
      </w:r>
      <w:r>
        <w:rPr>
          <w:i w:val="true"/>
          <w:iCs w:val="true"/>
          <w:rtl w:val="true"/>
        </w:rPr>
        <w:t xml:space="preserve"> </w:t>
      </w:r>
      <w:r>
        <w:rPr>
          <w:i w:val="true"/>
          <w:iCs w:val="true"/>
          <w:rtl w:val="true"/>
        </w:rPr>
        <w:t xml:space="preserve">הבטיחות</w:t>
      </w:r>
      <w:r>
        <w:rPr>
          <w:i w:val="true"/>
          <w:iCs w:val="true"/>
          <w:rtl w:val="true"/>
        </w:rPr>
        <w:t xml:space="preserve"> </w:t>
      </w:r>
      <w:r>
        <w:rPr>
          <w:i w:val="true"/>
          <w:iCs w:val="true"/>
          <w:rtl w:val="true"/>
        </w:rPr>
        <w:t xml:space="preserve">בעבודה</w:t>
      </w:r>
      <w:r>
        <w:rPr>
          <w:i w:val="true"/>
          <w:iCs w:val="true"/>
          <w:rtl w:val="true"/>
        </w:rPr>
        <w:t xml:space="preserve"> [</w:t>
      </w:r>
      <w:r>
        <w:rPr>
          <w:i w:val="true"/>
          <w:iCs w:val="true"/>
          <w:rtl w:val="true"/>
        </w:rPr>
        <w:t xml:space="preserve">נוסח</w:t>
      </w:r>
      <w:r>
        <w:rPr>
          <w:i w:val="true"/>
          <w:iCs w:val="true"/>
          <w:rtl w:val="true"/>
        </w:rPr>
        <w:t xml:space="preserve"> </w:t>
      </w:r>
      <w:r>
        <w:rPr>
          <w:i w:val="true"/>
          <w:iCs w:val="true"/>
          <w:rtl w:val="true"/>
        </w:rPr>
        <w:t xml:space="preserve">חדש</w:t>
      </w:r>
      <w:r>
        <w:rPr>
          <w:i w:val="true"/>
          <w:iCs w:val="true"/>
          <w:rtl w:val="true"/>
        </w:rPr>
        <w:t xml:space="preserve">], </w:t>
      </w:r>
      <w:r>
        <w:rPr>
          <w:i w:val="true"/>
          <w:iCs w:val="true"/>
          <w:rtl w:val="true"/>
        </w:rPr>
        <w:t xml:space="preserve">התש</w:t>
      </w:r>
      <w:r>
        <w:rPr>
          <w:i w:val="true"/>
          <w:iCs w:val="true"/>
          <w:rtl w:val="true"/>
        </w:rPr>
        <w:t xml:space="preserve">"</w:t>
      </w:r>
      <w:r>
        <w:rPr>
          <w:i w:val="true"/>
          <w:iCs w:val="true"/>
          <w:rtl w:val="true"/>
        </w:rPr>
        <w:t xml:space="preserve">ל</w:t>
      </w:r>
      <w:r>
        <w:rPr>
          <w:i w:val="true"/>
          <w:iCs w:val="true"/>
          <w:rtl w:val="true"/>
        </w:rPr>
        <w:t xml:space="preserve">-1970 (</w:t>
      </w:r>
      <w:r>
        <w:rPr>
          <w:i w:val="true"/>
          <w:iCs w:val="true"/>
          <w:rtl w:val="true"/>
        </w:rPr>
        <w:t xml:space="preserve">להלן</w:t>
      </w:r>
      <w:r>
        <w:rPr>
          <w:i w:val="true"/>
          <w:iCs w:val="true"/>
          <w:rtl w:val="true"/>
        </w:rPr>
        <w:t xml:space="preserve"> – </w:t>
      </w:r>
      <w:r>
        <w:rPr>
          <w:i w:val="true"/>
          <w:iCs w:val="true"/>
          <w:rtl w:val="true"/>
        </w:rPr>
        <w:t xml:space="preserve">רעש</w:t>
      </w:r>
      <w:r>
        <w:rPr>
          <w:i w:val="true"/>
          <w:iCs w:val="true"/>
          <w:rtl w:val="true"/>
        </w:rPr>
        <w:t xml:space="preserve"> </w:t>
      </w:r>
      <w:r>
        <w:rPr>
          <w:i w:val="true"/>
          <w:iCs w:val="true"/>
          <w:rtl w:val="true"/>
        </w:rPr>
        <w:t xml:space="preserve">מזיק</w:t>
      </w:r>
      <w:r>
        <w:rPr>
          <w:i w:val="true"/>
          <w:iCs w:val="true"/>
          <w:rtl w:val="true"/>
        </w:rPr>
        <w:t xml:space="preserve">);</w:t>
      </w:r>
      <w:r>
        <w:rPr>
          <w:i w:val="true"/>
          <w:iCs w:val="true"/>
          <w:rtl w:val="true"/>
        </w:rPr>
        <w:t xml:space="preserve">(2)</w:t>
      </w:r>
      <w:r>
        <w:rPr>
          <w:i w:val="true"/>
          <w:iCs w:val="true"/>
          <w:rtl w:val="true"/>
        </w:rPr>
        <w:t xml:space="preserve">כושר</w:t>
      </w:r>
      <w:r>
        <w:rPr>
          <w:i w:val="true"/>
          <w:iCs w:val="true"/>
          <w:rtl w:val="true"/>
        </w:rPr>
        <w:t xml:space="preserve"> </w:t>
      </w:r>
      <w:r>
        <w:rPr>
          <w:i w:val="true"/>
          <w:iCs w:val="true"/>
          <w:rtl w:val="true"/>
        </w:rPr>
        <w:t xml:space="preserve">השמיעה</w:t>
      </w:r>
      <w:r>
        <w:rPr>
          <w:i w:val="true"/>
          <w:iCs w:val="true"/>
          <w:rtl w:val="true"/>
        </w:rPr>
        <w:t xml:space="preserve"> </w:t>
      </w:r>
      <w:r>
        <w:rPr>
          <w:i w:val="true"/>
          <w:iCs w:val="true"/>
          <w:rtl w:val="true"/>
        </w:rPr>
        <w:t xml:space="preserve">פחת</w:t>
      </w:r>
      <w:r>
        <w:rPr>
          <w:i w:val="true"/>
          <w:iCs w:val="true"/>
          <w:rtl w:val="true"/>
        </w:rPr>
        <w:t xml:space="preserve">, </w:t>
      </w:r>
      <w:r>
        <w:rPr>
          <w:i w:val="true"/>
          <w:iCs w:val="true"/>
          <w:rtl w:val="true"/>
        </w:rPr>
        <w:t xml:space="preserve">בשיעור</w:t>
      </w:r>
      <w:r>
        <w:rPr>
          <w:i w:val="true"/>
          <w:iCs w:val="true"/>
          <w:rtl w:val="true"/>
        </w:rPr>
        <w:t xml:space="preserve"> </w:t>
      </w:r>
      <w:r>
        <w:rPr>
          <w:i w:val="true"/>
          <w:iCs w:val="true"/>
          <w:rtl w:val="true"/>
        </w:rPr>
        <w:t xml:space="preserve">של</w:t>
      </w:r>
      <w:r>
        <w:rPr>
          <w:i w:val="true"/>
          <w:iCs w:val="true"/>
          <w:rtl w:val="true"/>
        </w:rPr>
        <w:t xml:space="preserve"> 20 </w:t>
      </w:r>
      <w:r>
        <w:rPr>
          <w:i w:val="true"/>
          <w:iCs w:val="true"/>
          <w:rtl w:val="true"/>
        </w:rPr>
        <w:t xml:space="preserve">דציבל</w:t>
      </w:r>
      <w:r>
        <w:rPr>
          <w:i w:val="true"/>
          <w:iCs w:val="true"/>
          <w:rtl w:val="true"/>
        </w:rPr>
        <w:t xml:space="preserve"> </w:t>
      </w:r>
      <w:r>
        <w:rPr>
          <w:i w:val="true"/>
          <w:iCs w:val="true"/>
          <w:rtl w:val="true"/>
        </w:rPr>
        <w:t xml:space="preserve">לפחות</w:t>
      </w:r>
      <w:r>
        <w:rPr>
          <w:i w:val="true"/>
          <w:iCs w:val="true"/>
          <w:rtl w:val="true"/>
        </w:rPr>
        <w:t xml:space="preserve"> </w:t>
      </w:r>
      <w:r>
        <w:rPr>
          <w:i w:val="true"/>
          <w:iCs w:val="true"/>
          <w:rtl w:val="true"/>
        </w:rPr>
        <w:t xml:space="preserve">בכל</w:t>
      </w:r>
      <w:r>
        <w:rPr>
          <w:i w:val="true"/>
          <w:iCs w:val="true"/>
          <w:rtl w:val="true"/>
        </w:rPr>
        <w:t xml:space="preserve"> </w:t>
      </w:r>
      <w:r>
        <w:rPr>
          <w:i w:val="true"/>
          <w:iCs w:val="true"/>
          <w:rtl w:val="true"/>
        </w:rPr>
        <w:t xml:space="preserve">אחת</w:t>
      </w:r>
      <w:r>
        <w:rPr>
          <w:i w:val="true"/>
          <w:iCs w:val="true"/>
          <w:rtl w:val="true"/>
        </w:rPr>
        <w:t xml:space="preserve"> </w:t>
      </w:r>
      <w:r>
        <w:rPr>
          <w:i w:val="true"/>
          <w:iCs w:val="true"/>
          <w:rtl w:val="true"/>
        </w:rPr>
        <w:t xml:space="preserve">מהאוזניים</w:t>
      </w:r>
      <w:r>
        <w:rPr>
          <w:i w:val="true"/>
          <w:iCs w:val="true"/>
          <w:rtl w:val="true"/>
        </w:rPr>
        <w:t xml:space="preserve">;</w:t>
      </w:r>
      <w:r>
        <w:rPr>
          <w:i w:val="true"/>
          <w:iCs w:val="true"/>
          <w:rtl w:val="true"/>
        </w:rPr>
        <w:t xml:space="preserve">(3)</w:t>
      </w:r>
      <w:r>
        <w:rPr>
          <w:i w:val="true"/>
          <w:iCs w:val="true"/>
          <w:rtl w:val="true"/>
        </w:rPr>
        <w:t xml:space="preserve">הוגשה</w:t>
      </w:r>
      <w:r>
        <w:rPr>
          <w:i w:val="true"/>
          <w:iCs w:val="true"/>
          <w:rtl w:val="true"/>
        </w:rPr>
        <w:t xml:space="preserve"> </w:t>
      </w:r>
      <w:r>
        <w:rPr>
          <w:i w:val="true"/>
          <w:iCs w:val="true"/>
          <w:rtl w:val="true"/>
        </w:rPr>
        <w:t xml:space="preserve">למוסד</w:t>
      </w:r>
      <w:r>
        <w:rPr>
          <w:i w:val="true"/>
          <w:iCs w:val="true"/>
          <w:rtl w:val="true"/>
        </w:rPr>
        <w:t xml:space="preserve"> </w:t>
      </w:r>
      <w:r>
        <w:rPr>
          <w:i w:val="true"/>
          <w:iCs w:val="true"/>
          <w:rtl w:val="true"/>
        </w:rPr>
        <w:t xml:space="preserve">תביעה</w:t>
      </w:r>
      <w:r>
        <w:rPr>
          <w:i w:val="true"/>
          <w:iCs w:val="true"/>
          <w:rtl w:val="true"/>
        </w:rPr>
        <w:t xml:space="preserve"> </w:t>
      </w:r>
      <w:r>
        <w:rPr>
          <w:i w:val="true"/>
          <w:iCs w:val="true"/>
          <w:rtl w:val="true"/>
        </w:rPr>
        <w:t xml:space="preserve">להכרה</w:t>
      </w:r>
      <w:r>
        <w:rPr>
          <w:i w:val="true"/>
          <w:iCs w:val="true"/>
          <w:rtl w:val="true"/>
        </w:rPr>
        <w:t xml:space="preserve"> </w:t>
      </w:r>
      <w:r>
        <w:rPr>
          <w:i w:val="true"/>
          <w:iCs w:val="true"/>
          <w:rtl w:val="true"/>
        </w:rPr>
        <w:t xml:space="preserve">בליקוי</w:t>
      </w:r>
      <w:r>
        <w:rPr>
          <w:i w:val="true"/>
          <w:iCs w:val="true"/>
          <w:rtl w:val="true"/>
        </w:rPr>
        <w:t xml:space="preserve"> </w:t>
      </w:r>
      <w:r>
        <w:rPr>
          <w:i w:val="true"/>
          <w:iCs w:val="true"/>
          <w:rtl w:val="true"/>
        </w:rPr>
        <w:t xml:space="preserve">השמיעה</w:t>
      </w:r>
      <w:r>
        <w:rPr>
          <w:i w:val="true"/>
          <w:iCs w:val="true"/>
          <w:rtl w:val="true"/>
        </w:rPr>
        <w:t xml:space="preserve"> </w:t>
      </w:r>
      <w:r>
        <w:rPr>
          <w:i w:val="true"/>
          <w:iCs w:val="true"/>
          <w:rtl w:val="true"/>
        </w:rPr>
        <w:t xml:space="preserve">כפגיעה</w:t>
      </w:r>
      <w:r>
        <w:rPr>
          <w:i w:val="true"/>
          <w:iCs w:val="true"/>
          <w:rtl w:val="true"/>
        </w:rPr>
        <w:t xml:space="preserve"> </w:t>
      </w:r>
      <w:r>
        <w:rPr>
          <w:i w:val="true"/>
          <w:iCs w:val="true"/>
          <w:rtl w:val="true"/>
        </w:rPr>
        <w:t xml:space="preserve">בעבודה</w:t>
      </w:r>
      <w:r>
        <w:rPr>
          <w:i w:val="true"/>
          <w:iCs w:val="true"/>
          <w:rtl w:val="true"/>
        </w:rPr>
        <w:t xml:space="preserve">, </w:t>
      </w:r>
      <w:r>
        <w:rPr>
          <w:i w:val="true"/>
          <w:iCs w:val="true"/>
          <w:rtl w:val="true"/>
        </w:rPr>
        <w:t xml:space="preserve">בתוך</w:t>
      </w:r>
      <w:r>
        <w:rPr>
          <w:i w:val="true"/>
          <w:iCs w:val="true"/>
          <w:rtl w:val="true"/>
        </w:rPr>
        <w:t xml:space="preserve"> 12 </w:t>
      </w:r>
      <w:r>
        <w:rPr>
          <w:i w:val="true"/>
          <w:iCs w:val="true"/>
          <w:rtl w:val="true"/>
        </w:rPr>
        <w:t xml:space="preserve">חודשים</w:t>
      </w:r>
      <w:r>
        <w:rPr>
          <w:i w:val="true"/>
          <w:iCs w:val="true"/>
          <w:rtl w:val="true"/>
        </w:rPr>
        <w:t xml:space="preserve"> </w:t>
      </w:r>
      <w:r>
        <w:rPr>
          <w:i w:val="true"/>
          <w:iCs w:val="true"/>
          <w:rtl w:val="true"/>
        </w:rPr>
        <w:t xml:space="preserve">מהיום</w:t>
      </w:r>
      <w:r>
        <w:rPr>
          <w:i w:val="true"/>
          <w:iCs w:val="true"/>
          <w:rtl w:val="true"/>
        </w:rPr>
        <w:t xml:space="preserve"> </w:t>
      </w:r>
      <w:r>
        <w:rPr>
          <w:i w:val="true"/>
          <w:iCs w:val="true"/>
          <w:rtl w:val="true"/>
        </w:rPr>
        <w:t xml:space="preserve">המוקדם</w:t>
      </w:r>
      <w:r>
        <w:rPr>
          <w:i w:val="true"/>
          <w:iCs w:val="true"/>
          <w:rtl w:val="true"/>
        </w:rPr>
        <w:t xml:space="preserve"> </w:t>
      </w:r>
      <w:r>
        <w:rPr>
          <w:i w:val="true"/>
          <w:iCs w:val="true"/>
          <w:rtl w:val="true"/>
        </w:rPr>
        <w:t xml:space="preserve">מבין</w:t>
      </w:r>
      <w:r>
        <w:rPr>
          <w:i w:val="true"/>
          <w:iCs w:val="true"/>
          <w:rtl w:val="true"/>
        </w:rPr>
        <w:t xml:space="preserve"> </w:t>
      </w:r>
      <w:r>
        <w:rPr>
          <w:i w:val="true"/>
          <w:iCs w:val="true"/>
          <w:rtl w:val="true"/>
        </w:rPr>
        <w:t xml:space="preserve">אלה</w:t>
      </w:r>
      <w:r>
        <w:rPr>
          <w:i w:val="true"/>
          <w:iCs w:val="true"/>
          <w:rtl w:val="true"/>
        </w:rPr>
        <w:t xml:space="preserve">:</w:t>
      </w:r>
      <w:r>
        <w:rPr>
          <w:i w:val="true"/>
          <w:iCs w:val="true"/>
          <w:rtl w:val="true"/>
        </w:rPr>
        <w:t xml:space="preserve">(</w:t>
      </w:r>
      <w:r>
        <w:rPr>
          <w:i w:val="true"/>
          <w:iCs w:val="true"/>
          <w:rtl w:val="true"/>
        </w:rPr>
        <w:t xml:space="preserve">א</w:t>
      </w:r>
      <w:r>
        <w:rPr>
          <w:i w:val="true"/>
          <w:iCs w:val="true"/>
          <w:rtl w:val="true"/>
        </w:rPr>
        <w:t xml:space="preserve">)</w:t>
      </w:r>
      <w:r>
        <w:rPr>
          <w:i w:val="true"/>
          <w:iCs w:val="true"/>
          <w:rtl w:val="true"/>
        </w:rPr>
        <w:t xml:space="preserve">היום</w:t>
      </w:r>
      <w:r>
        <w:rPr>
          <w:i w:val="true"/>
          <w:iCs w:val="true"/>
          <w:rtl w:val="true"/>
        </w:rPr>
        <w:t xml:space="preserve"> </w:t>
      </w:r>
      <w:r>
        <w:rPr>
          <w:i w:val="true"/>
          <w:iCs w:val="true"/>
          <w:rtl w:val="true"/>
        </w:rPr>
        <w:t xml:space="preserve">שבו</w:t>
      </w:r>
      <w:r>
        <w:rPr>
          <w:i w:val="true"/>
          <w:iCs w:val="true"/>
          <w:rtl w:val="true"/>
        </w:rPr>
        <w:t xml:space="preserve"> </w:t>
      </w:r>
      <w:r>
        <w:rPr>
          <w:i w:val="true"/>
          <w:iCs w:val="true"/>
          <w:rtl w:val="true"/>
        </w:rPr>
        <w:t xml:space="preserve">תועד</w:t>
      </w:r>
      <w:r>
        <w:rPr>
          <w:i w:val="true"/>
          <w:iCs w:val="true"/>
          <w:rtl w:val="true"/>
        </w:rPr>
        <w:t xml:space="preserve"> </w:t>
      </w:r>
      <w:r>
        <w:rPr>
          <w:i w:val="true"/>
          <w:iCs w:val="true"/>
          <w:rtl w:val="true"/>
        </w:rPr>
        <w:t xml:space="preserve">הליקוי</w:t>
      </w:r>
      <w:r>
        <w:rPr>
          <w:i w:val="true"/>
          <w:iCs w:val="true"/>
          <w:rtl w:val="true"/>
        </w:rPr>
        <w:t xml:space="preserve"> </w:t>
      </w:r>
      <w:r>
        <w:rPr>
          <w:i w:val="true"/>
          <w:iCs w:val="true"/>
          <w:rtl w:val="true"/>
        </w:rPr>
        <w:t xml:space="preserve">לראשונה</w:t>
      </w:r>
      <w:r>
        <w:rPr>
          <w:i w:val="true"/>
          <w:iCs w:val="true"/>
          <w:rtl w:val="true"/>
        </w:rPr>
        <w:t xml:space="preserve"> </w:t>
      </w:r>
      <w:r>
        <w:rPr>
          <w:i w:val="true"/>
          <w:iCs w:val="true"/>
          <w:rtl w:val="true"/>
        </w:rPr>
        <w:t xml:space="preserve">ברשומה</w:t>
      </w:r>
      <w:r>
        <w:rPr>
          <w:i w:val="true"/>
          <w:iCs w:val="true"/>
          <w:rtl w:val="true"/>
        </w:rPr>
        <w:t xml:space="preserve"> </w:t>
      </w:r>
      <w:r>
        <w:rPr>
          <w:i w:val="true"/>
          <w:iCs w:val="true"/>
          <w:rtl w:val="true"/>
        </w:rPr>
        <w:t xml:space="preserve">רפואית</w:t>
      </w:r>
      <w:r>
        <w:rPr>
          <w:i w:val="true"/>
          <w:iCs w:val="true"/>
          <w:rtl w:val="true"/>
        </w:rPr>
        <w:t xml:space="preserve"> </w:t>
      </w:r>
      <w:r>
        <w:rPr>
          <w:i w:val="true"/>
          <w:iCs w:val="true"/>
          <w:rtl w:val="true"/>
        </w:rPr>
        <w:t xml:space="preserve">כמשמעה</w:t>
      </w:r>
      <w:r>
        <w:rPr>
          <w:i w:val="true"/>
          <w:iCs w:val="true"/>
          <w:rtl w:val="true"/>
        </w:rPr>
        <w:t xml:space="preserve"> </w:t>
      </w:r>
      <w:r>
        <w:rPr>
          <w:i w:val="true"/>
          <w:iCs w:val="true"/>
          <w:rtl w:val="true"/>
        </w:rPr>
        <w:t xml:space="preserve">בסעיף</w:t>
      </w:r>
      <w:r>
        <w:rPr>
          <w:i w:val="true"/>
          <w:iCs w:val="true"/>
          <w:rtl w:val="true"/>
        </w:rPr>
        <w:t xml:space="preserve"> 17 </w:t>
      </w:r>
      <w:r>
        <w:rPr>
          <w:i w:val="true"/>
          <w:iCs w:val="true"/>
          <w:rtl w:val="true"/>
        </w:rPr>
        <w:t xml:space="preserve">בחוק</w:t>
      </w:r>
      <w:r>
        <w:rPr>
          <w:i w:val="true"/>
          <w:iCs w:val="true"/>
          <w:rtl w:val="true"/>
        </w:rPr>
        <w:t xml:space="preserve"> </w:t>
      </w:r>
      <w:r>
        <w:rPr>
          <w:i w:val="true"/>
          <w:iCs w:val="true"/>
          <w:rtl w:val="true"/>
        </w:rPr>
        <w:t xml:space="preserve">זכויות</w:t>
      </w:r>
      <w:r>
        <w:rPr>
          <w:i w:val="true"/>
          <w:iCs w:val="true"/>
          <w:rtl w:val="true"/>
        </w:rPr>
        <w:t xml:space="preserve"> </w:t>
      </w:r>
      <w:r>
        <w:rPr>
          <w:i w:val="true"/>
          <w:iCs w:val="true"/>
          <w:rtl w:val="true"/>
        </w:rPr>
        <w:t xml:space="preserve">החולה</w:t>
      </w:r>
      <w:r>
        <w:rPr>
          <w:i w:val="true"/>
          <w:iCs w:val="true"/>
          <w:rtl w:val="true"/>
        </w:rPr>
        <w:t xml:space="preserve">, </w:t>
      </w:r>
      <w:r>
        <w:rPr>
          <w:i w:val="true"/>
          <w:iCs w:val="true"/>
          <w:rtl w:val="true"/>
        </w:rPr>
        <w:t xml:space="preserve">התשנ</w:t>
      </w:r>
      <w:r>
        <w:rPr>
          <w:i w:val="true"/>
          <w:iCs w:val="true"/>
          <w:rtl w:val="true"/>
        </w:rPr>
        <w:t xml:space="preserve">"</w:t>
      </w:r>
      <w:r>
        <w:rPr>
          <w:i w:val="true"/>
          <w:iCs w:val="true"/>
          <w:rtl w:val="true"/>
        </w:rPr>
        <w:t xml:space="preserve">ו</w:t>
      </w:r>
      <w:r>
        <w:rPr>
          <w:i w:val="true"/>
          <w:iCs w:val="true"/>
          <w:rtl w:val="true"/>
        </w:rPr>
        <w:t xml:space="preserve">-1996 (</w:t>
      </w:r>
      <w:r>
        <w:rPr>
          <w:i w:val="true"/>
          <w:iCs w:val="true"/>
          <w:rtl w:val="true"/>
        </w:rPr>
        <w:t xml:space="preserve">בסעיף</w:t>
      </w:r>
      <w:r>
        <w:rPr>
          <w:i w:val="true"/>
          <w:iCs w:val="true"/>
          <w:rtl w:val="true"/>
        </w:rPr>
        <w:t xml:space="preserve"> </w:t>
      </w:r>
      <w:r>
        <w:rPr>
          <w:i w:val="true"/>
          <w:iCs w:val="true"/>
          <w:rtl w:val="true"/>
        </w:rPr>
        <w:t xml:space="preserve">זה</w:t>
      </w:r>
      <w:r>
        <w:rPr>
          <w:i w:val="true"/>
          <w:iCs w:val="true"/>
          <w:rtl w:val="true"/>
        </w:rPr>
        <w:t xml:space="preserve"> – </w:t>
      </w:r>
      <w:r>
        <w:rPr>
          <w:i w:val="true"/>
          <w:iCs w:val="true"/>
          <w:rtl w:val="true"/>
        </w:rPr>
        <w:t xml:space="preserve">רשומה</w:t>
      </w:r>
      <w:r>
        <w:rPr>
          <w:i w:val="true"/>
          <w:iCs w:val="true"/>
          <w:rtl w:val="true"/>
        </w:rPr>
        <w:t xml:space="preserve"> </w:t>
      </w:r>
      <w:r>
        <w:rPr>
          <w:i w:val="true"/>
          <w:iCs w:val="true"/>
          <w:rtl w:val="true"/>
        </w:rPr>
        <w:t xml:space="preserve">רפואית</w:t>
      </w:r>
      <w:r>
        <w:rPr>
          <w:i w:val="true"/>
          <w:iCs w:val="true"/>
          <w:rtl w:val="true"/>
        </w:rPr>
        <w:t xml:space="preserve">);</w:t>
      </w:r>
      <w:r>
        <w:rPr>
          <w:i w:val="true"/>
          <w:iCs w:val="true"/>
          <w:rtl w:val="true"/>
        </w:rPr>
        <w:t xml:space="preserve">(</w:t>
      </w:r>
      <w:r>
        <w:rPr>
          <w:i w:val="true"/>
          <w:iCs w:val="true"/>
          <w:rtl w:val="true"/>
        </w:rPr>
        <w:t xml:space="preserve">ב</w:t>
      </w:r>
      <w:r>
        <w:rPr>
          <w:i w:val="true"/>
          <w:iCs w:val="true"/>
          <w:rtl w:val="true"/>
        </w:rPr>
        <w:t xml:space="preserve">)</w:t>
      </w:r>
      <w:r>
        <w:rPr>
          <w:i w:val="true"/>
          <w:iCs w:val="true"/>
          <w:rtl w:val="true"/>
        </w:rPr>
        <w:t xml:space="preserve">היום</w:t>
      </w:r>
      <w:r>
        <w:rPr>
          <w:i w:val="true"/>
          <w:iCs w:val="true"/>
          <w:rtl w:val="true"/>
        </w:rPr>
        <w:t xml:space="preserve"> </w:t>
      </w:r>
      <w:r>
        <w:rPr>
          <w:i w:val="true"/>
          <w:iCs w:val="true"/>
          <w:rtl w:val="true"/>
        </w:rPr>
        <w:t xml:space="preserve">שבו</w:t>
      </w:r>
      <w:r>
        <w:rPr>
          <w:i w:val="true"/>
          <w:iCs w:val="true"/>
          <w:rtl w:val="true"/>
        </w:rPr>
        <w:t xml:space="preserve">, </w:t>
      </w:r>
      <w:r>
        <w:rPr>
          <w:i w:val="true"/>
          <w:iCs w:val="true"/>
          <w:rtl w:val="true"/>
        </w:rPr>
        <w:t xml:space="preserve">לדעת</w:t>
      </w:r>
      <w:r>
        <w:rPr>
          <w:i w:val="true"/>
          <w:iCs w:val="true"/>
          <w:rtl w:val="true"/>
        </w:rPr>
        <w:t xml:space="preserve"> </w:t>
      </w:r>
      <w:r>
        <w:rPr>
          <w:i w:val="true"/>
          <w:iCs w:val="true"/>
          <w:rtl w:val="true"/>
        </w:rPr>
        <w:t xml:space="preserve">הוועדה</w:t>
      </w:r>
      <w:r>
        <w:rPr>
          <w:i w:val="true"/>
          <w:iCs w:val="true"/>
          <w:rtl w:val="true"/>
        </w:rPr>
        <w:t xml:space="preserve"> </w:t>
      </w:r>
      <w:r>
        <w:rPr>
          <w:i w:val="true"/>
          <w:iCs w:val="true"/>
          <w:rtl w:val="true"/>
        </w:rPr>
        <w:t xml:space="preserve">הרפואית</w:t>
      </w:r>
      <w:r>
        <w:rPr>
          <w:i w:val="true"/>
          <w:iCs w:val="true"/>
          <w:rtl w:val="true"/>
        </w:rPr>
        <w:t xml:space="preserve"> </w:t>
      </w:r>
      <w:r>
        <w:rPr>
          <w:i w:val="true"/>
          <w:iCs w:val="true"/>
          <w:rtl w:val="true"/>
        </w:rPr>
        <w:t xml:space="preserve">או</w:t>
      </w:r>
      <w:r>
        <w:rPr>
          <w:i w:val="true"/>
          <w:iCs w:val="true"/>
          <w:rtl w:val="true"/>
        </w:rPr>
        <w:t xml:space="preserve"> </w:t>
      </w:r>
      <w:r>
        <w:rPr>
          <w:i w:val="true"/>
          <w:iCs w:val="true"/>
          <w:rtl w:val="true"/>
        </w:rPr>
        <w:t xml:space="preserve">הוועדה</w:t>
      </w:r>
      <w:r>
        <w:rPr>
          <w:i w:val="true"/>
          <w:iCs w:val="true"/>
          <w:rtl w:val="true"/>
        </w:rPr>
        <w:t xml:space="preserve"> </w:t>
      </w:r>
      <w:r>
        <w:rPr>
          <w:i w:val="true"/>
          <w:iCs w:val="true"/>
          <w:rtl w:val="true"/>
        </w:rPr>
        <w:t xml:space="preserve">הרפואית</w:t>
      </w:r>
      <w:r>
        <w:rPr>
          <w:i w:val="true"/>
          <w:iCs w:val="true"/>
          <w:rtl w:val="true"/>
        </w:rPr>
        <w:t xml:space="preserve"> </w:t>
      </w:r>
      <w:r>
        <w:rPr>
          <w:i w:val="true"/>
          <w:iCs w:val="true"/>
          <w:rtl w:val="true"/>
        </w:rPr>
        <w:t xml:space="preserve">לעררים</w:t>
      </w:r>
      <w:r>
        <w:rPr>
          <w:i w:val="true"/>
          <w:iCs w:val="true"/>
          <w:rtl w:val="true"/>
        </w:rPr>
        <w:t xml:space="preserve"> </w:t>
      </w:r>
      <w:r>
        <w:rPr>
          <w:i w:val="true"/>
          <w:iCs w:val="true"/>
          <w:rtl w:val="true"/>
        </w:rPr>
        <w:t xml:space="preserve">כמשמעותן</w:t>
      </w:r>
      <w:r>
        <w:rPr>
          <w:i w:val="true"/>
          <w:iCs w:val="true"/>
          <w:rtl w:val="true"/>
        </w:rPr>
        <w:t xml:space="preserve"> </w:t>
      </w:r>
      <w:r>
        <w:rPr>
          <w:i w:val="true"/>
          <w:iCs w:val="true"/>
          <w:rtl w:val="true"/>
        </w:rPr>
        <w:t xml:space="preserve">בפרק</w:t>
      </w:r>
      <w:r>
        <w:rPr>
          <w:i w:val="true"/>
          <w:iCs w:val="true"/>
          <w:rtl w:val="true"/>
        </w:rPr>
        <w:t xml:space="preserve"> </w:t>
      </w:r>
      <w:r>
        <w:rPr>
          <w:i w:val="true"/>
          <w:iCs w:val="true"/>
          <w:rtl w:val="true"/>
        </w:rPr>
        <w:t xml:space="preserve">זה</w:t>
      </w:r>
      <w:r>
        <w:rPr>
          <w:i w:val="true"/>
          <w:iCs w:val="true"/>
          <w:rtl w:val="true"/>
        </w:rPr>
        <w:t xml:space="preserve">, </w:t>
      </w:r>
      <w:r>
        <w:rPr>
          <w:i w:val="true"/>
          <w:iCs w:val="true"/>
          <w:rtl w:val="true"/>
        </w:rPr>
        <w:t xml:space="preserve">לפי</w:t>
      </w:r>
      <w:r>
        <w:rPr>
          <w:i w:val="true"/>
          <w:iCs w:val="true"/>
          <w:rtl w:val="true"/>
        </w:rPr>
        <w:t xml:space="preserve"> </w:t>
      </w:r>
      <w:r>
        <w:rPr>
          <w:i w:val="true"/>
          <w:iCs w:val="true"/>
          <w:rtl w:val="true"/>
        </w:rPr>
        <w:t xml:space="preserve">הענין</w:t>
      </w:r>
      <w:r>
        <w:rPr>
          <w:i w:val="true"/>
          <w:iCs w:val="true"/>
          <w:rtl w:val="true"/>
        </w:rPr>
        <w:t xml:space="preserve">, </w:t>
      </w:r>
      <w:r>
        <w:rPr>
          <w:i w:val="true"/>
          <w:iCs w:val="true"/>
          <w:rtl w:val="true"/>
        </w:rPr>
        <w:t xml:space="preserve">החלה</w:t>
      </w:r>
      <w:r>
        <w:rPr>
          <w:i w:val="true"/>
          <w:iCs w:val="true"/>
          <w:rtl w:val="true"/>
        </w:rPr>
        <w:t xml:space="preserve"> </w:t>
      </w:r>
      <w:r>
        <w:rPr>
          <w:i w:val="true"/>
          <w:iCs w:val="true"/>
          <w:rtl w:val="true"/>
        </w:rPr>
        <w:t xml:space="preserve">הירידה</w:t>
      </w:r>
      <w:r>
        <w:rPr>
          <w:i w:val="true"/>
          <w:iCs w:val="true"/>
          <w:rtl w:val="true"/>
        </w:rPr>
        <w:t xml:space="preserve"> </w:t>
      </w:r>
      <w:r>
        <w:rPr>
          <w:i w:val="true"/>
          <w:iCs w:val="true"/>
          <w:rtl w:val="true"/>
        </w:rPr>
        <w:t xml:space="preserve">בשמיעה</w:t>
      </w:r>
      <w:r>
        <w:rPr>
          <w:i w:val="true"/>
          <w:iCs w:val="true"/>
          <w:rtl w:val="true"/>
        </w:rPr>
        <w:t xml:space="preserve">.</w:t>
      </w:r>
      <w:r>
        <w:rPr>
          <w:rtl w:val="true"/>
          <w:sz w:val="28"/>
          <w:szCs w:val="28"/>
        </w:rPr>
        <w:t xml:space="preserve">(ב)</w:t>
      </w:r>
      <w:r>
        <w:rPr>
          <w:b w:val="true"/>
          <w:bCs w:val="true"/>
          <w:rtl w:val="true"/>
        </w:rPr>
        <w:t xml:space="preserve">רעש</w:t>
      </w:r>
      <w:r>
        <w:rPr>
          <w:b w:val="true"/>
          <w:bCs w:val="true"/>
          <w:rtl w:val="true"/>
        </w:rPr>
        <w:t xml:space="preserve"> </w:t>
      </w:r>
      <w:r>
        <w:rPr>
          <w:b w:val="true"/>
          <w:bCs w:val="true"/>
          <w:rtl w:val="true"/>
        </w:rPr>
        <w:t xml:space="preserve">תמידי</w:t>
      </w:r>
      <w:r>
        <w:rPr>
          <w:b w:val="true"/>
          <w:bCs w:val="true"/>
          <w:rtl w:val="true"/>
        </w:rPr>
        <w:t xml:space="preserve"> </w:t>
      </w:r>
      <w:r>
        <w:rPr>
          <w:b w:val="true"/>
          <w:bCs w:val="true"/>
          <w:rtl w:val="true"/>
        </w:rPr>
        <w:t xml:space="preserve">באוזניים</w:t>
      </w:r>
      <w:r>
        <w:rPr>
          <w:rtl w:val="true"/>
          <w:sz w:val="28"/>
          <w:szCs w:val="28"/>
        </w:rPr>
        <w:t xml:space="preserve"> (להלן – טינטון) עקב חשיפה לרעש, לא יוכר כפגיעה בעבודה אלא אם כן התקיים האמור בסעיף קטן (א), וכן כל אלה:</w:t>
      </w:r>
      <w:r>
        <w:rPr>
          <w:i w:val="true"/>
          <w:iCs w:val="true"/>
          <w:rtl w:val="true"/>
        </w:rPr>
        <w:t xml:space="preserve">(1)</w:t>
      </w:r>
      <w:r>
        <w:rPr>
          <w:i w:val="true"/>
          <w:iCs w:val="true"/>
          <w:rtl w:val="true"/>
        </w:rPr>
        <w:t xml:space="preserve">כושר</w:t>
      </w:r>
      <w:r>
        <w:rPr>
          <w:i w:val="true"/>
          <w:iCs w:val="true"/>
          <w:rtl w:val="true"/>
        </w:rPr>
        <w:t xml:space="preserve"> </w:t>
      </w:r>
      <w:r>
        <w:rPr>
          <w:i w:val="true"/>
          <w:iCs w:val="true"/>
          <w:rtl w:val="true"/>
        </w:rPr>
        <w:t xml:space="preserve">השמיעה</w:t>
      </w:r>
      <w:r>
        <w:rPr>
          <w:i w:val="true"/>
          <w:iCs w:val="true"/>
          <w:rtl w:val="true"/>
        </w:rPr>
        <w:t xml:space="preserve"> </w:t>
      </w:r>
      <w:r>
        <w:rPr>
          <w:i w:val="true"/>
          <w:iCs w:val="true"/>
          <w:rtl w:val="true"/>
        </w:rPr>
        <w:t xml:space="preserve">בתדירויות</w:t>
      </w:r>
      <w:r>
        <w:rPr>
          <w:i w:val="true"/>
          <w:iCs w:val="true"/>
          <w:rtl w:val="true"/>
        </w:rPr>
        <w:t xml:space="preserve"> </w:t>
      </w:r>
      <w:r>
        <w:rPr>
          <w:i w:val="true"/>
          <w:iCs w:val="true"/>
          <w:rtl w:val="true"/>
        </w:rPr>
        <w:t xml:space="preserve">הגבוהות</w:t>
      </w:r>
      <w:r>
        <w:rPr>
          <w:i w:val="true"/>
          <w:iCs w:val="true"/>
          <w:rtl w:val="true"/>
        </w:rPr>
        <w:t xml:space="preserve"> </w:t>
      </w:r>
      <w:r>
        <w:rPr>
          <w:i w:val="true"/>
          <w:iCs w:val="true"/>
          <w:rtl w:val="true"/>
        </w:rPr>
        <w:t xml:space="preserve">פחת</w:t>
      </w:r>
      <w:r>
        <w:rPr>
          <w:i w:val="true"/>
          <w:iCs w:val="true"/>
          <w:rtl w:val="true"/>
        </w:rPr>
        <w:t xml:space="preserve"> </w:t>
      </w:r>
      <w:r>
        <w:rPr>
          <w:i w:val="true"/>
          <w:iCs w:val="true"/>
          <w:rtl w:val="true"/>
        </w:rPr>
        <w:t xml:space="preserve">בשיעור</w:t>
      </w:r>
      <w:r>
        <w:rPr>
          <w:i w:val="true"/>
          <w:iCs w:val="true"/>
          <w:rtl w:val="true"/>
        </w:rPr>
        <w:t xml:space="preserve"> </w:t>
      </w:r>
      <w:r>
        <w:rPr>
          <w:i w:val="true"/>
          <w:iCs w:val="true"/>
          <w:rtl w:val="true"/>
        </w:rPr>
        <w:t xml:space="preserve">של</w:t>
      </w:r>
      <w:r>
        <w:rPr>
          <w:i w:val="true"/>
          <w:iCs w:val="true"/>
          <w:rtl w:val="true"/>
        </w:rPr>
        <w:t xml:space="preserve"> 25 </w:t>
      </w:r>
      <w:r>
        <w:rPr>
          <w:i w:val="true"/>
          <w:iCs w:val="true"/>
          <w:rtl w:val="true"/>
        </w:rPr>
        <w:t xml:space="preserve">דציבל</w:t>
      </w:r>
      <w:r>
        <w:rPr>
          <w:i w:val="true"/>
          <w:iCs w:val="true"/>
          <w:rtl w:val="true"/>
        </w:rPr>
        <w:t xml:space="preserve"> </w:t>
      </w:r>
      <w:r>
        <w:rPr>
          <w:i w:val="true"/>
          <w:iCs w:val="true"/>
          <w:rtl w:val="true"/>
        </w:rPr>
        <w:t xml:space="preserve">לפחות</w:t>
      </w:r>
      <w:r>
        <w:rPr>
          <w:i w:val="true"/>
          <w:iCs w:val="true"/>
          <w:rtl w:val="true"/>
        </w:rPr>
        <w:t xml:space="preserve"> </w:t>
      </w:r>
      <w:r>
        <w:rPr>
          <w:i w:val="true"/>
          <w:iCs w:val="true"/>
          <w:rtl w:val="true"/>
        </w:rPr>
        <w:t xml:space="preserve">בכל</w:t>
      </w:r>
      <w:r>
        <w:rPr>
          <w:i w:val="true"/>
          <w:iCs w:val="true"/>
          <w:rtl w:val="true"/>
        </w:rPr>
        <w:t xml:space="preserve"> </w:t>
      </w:r>
      <w:r>
        <w:rPr>
          <w:i w:val="true"/>
          <w:iCs w:val="true"/>
          <w:rtl w:val="true"/>
        </w:rPr>
        <w:t xml:space="preserve">אחת</w:t>
      </w:r>
      <w:r>
        <w:rPr>
          <w:i w:val="true"/>
          <w:iCs w:val="true"/>
          <w:rtl w:val="true"/>
        </w:rPr>
        <w:t xml:space="preserve"> </w:t>
      </w:r>
      <w:r>
        <w:rPr>
          <w:i w:val="true"/>
          <w:iCs w:val="true"/>
          <w:rtl w:val="true"/>
        </w:rPr>
        <w:t xml:space="preserve">מהאוזניים</w:t>
      </w:r>
      <w:r>
        <w:rPr>
          <w:i w:val="true"/>
          <w:iCs w:val="true"/>
          <w:rtl w:val="true"/>
        </w:rPr>
        <w:t xml:space="preserve">; </w:t>
      </w:r>
      <w:r>
        <w:rPr>
          <w:i w:val="true"/>
          <w:iCs w:val="true"/>
          <w:rtl w:val="true"/>
        </w:rPr>
        <w:t xml:space="preserve">לענין</w:t>
      </w:r>
      <w:r>
        <w:rPr>
          <w:i w:val="true"/>
          <w:iCs w:val="true"/>
          <w:rtl w:val="true"/>
        </w:rPr>
        <w:t xml:space="preserve"> </w:t>
      </w:r>
      <w:r>
        <w:rPr>
          <w:i w:val="true"/>
          <w:iCs w:val="true"/>
          <w:rtl w:val="true"/>
        </w:rPr>
        <w:t xml:space="preserve">זה</w:t>
      </w:r>
      <w:r>
        <w:rPr>
          <w:i w:val="true"/>
          <w:iCs w:val="true"/>
          <w:rtl w:val="true"/>
        </w:rPr>
        <w:t xml:space="preserve">, "</w:t>
      </w:r>
      <w:r>
        <w:rPr>
          <w:i w:val="true"/>
          <w:iCs w:val="true"/>
          <w:rtl w:val="true"/>
        </w:rPr>
        <w:t xml:space="preserve">תדירויות</w:t>
      </w:r>
      <w:r>
        <w:rPr>
          <w:i w:val="true"/>
          <w:iCs w:val="true"/>
          <w:rtl w:val="true"/>
        </w:rPr>
        <w:t xml:space="preserve"> </w:t>
      </w:r>
      <w:r>
        <w:rPr>
          <w:i w:val="true"/>
          <w:iCs w:val="true"/>
          <w:rtl w:val="true"/>
        </w:rPr>
        <w:t xml:space="preserve">גבוהות</w:t>
      </w:r>
      <w:r>
        <w:rPr>
          <w:i w:val="true"/>
          <w:iCs w:val="true"/>
          <w:rtl w:val="true"/>
        </w:rPr>
        <w:t xml:space="preserve">" – </w:t>
      </w:r>
      <w:r>
        <w:rPr>
          <w:i w:val="true"/>
          <w:iCs w:val="true"/>
          <w:rtl w:val="true"/>
        </w:rPr>
        <w:t xml:space="preserve">תדירויות</w:t>
      </w:r>
      <w:r>
        <w:rPr>
          <w:i w:val="true"/>
          <w:iCs w:val="true"/>
          <w:rtl w:val="true"/>
        </w:rPr>
        <w:t xml:space="preserve"> </w:t>
      </w:r>
      <w:r>
        <w:rPr>
          <w:i w:val="true"/>
          <w:iCs w:val="true"/>
          <w:rtl w:val="true"/>
        </w:rPr>
        <w:t xml:space="preserve">של</w:t>
      </w:r>
      <w:r>
        <w:rPr>
          <w:i w:val="true"/>
          <w:iCs w:val="true"/>
          <w:rtl w:val="true"/>
        </w:rPr>
        <w:t xml:space="preserve"> 3000 </w:t>
      </w:r>
      <w:r>
        <w:rPr>
          <w:i w:val="true"/>
          <w:iCs w:val="true"/>
          <w:rtl w:val="true"/>
        </w:rPr>
        <w:t xml:space="preserve">ו</w:t>
      </w:r>
      <w:r>
        <w:rPr>
          <w:i w:val="true"/>
          <w:iCs w:val="true"/>
          <w:rtl w:val="true"/>
        </w:rPr>
        <w:t xml:space="preserve">-4000 </w:t>
      </w:r>
      <w:r>
        <w:rPr>
          <w:i w:val="true"/>
          <w:iCs w:val="true"/>
          <w:rtl w:val="true"/>
        </w:rPr>
        <w:t xml:space="preserve">מחזורים</w:t>
      </w:r>
      <w:r>
        <w:rPr>
          <w:i w:val="true"/>
          <w:iCs w:val="true"/>
          <w:rtl w:val="true"/>
        </w:rPr>
        <w:t xml:space="preserve"> </w:t>
      </w:r>
      <w:r>
        <w:rPr>
          <w:i w:val="true"/>
          <w:iCs w:val="true"/>
          <w:rtl w:val="true"/>
        </w:rPr>
        <w:t xml:space="preserve">בשניה</w:t>
      </w:r>
      <w:r>
        <w:rPr>
          <w:i w:val="true"/>
          <w:iCs w:val="true"/>
          <w:rtl w:val="true"/>
        </w:rPr>
        <w:t xml:space="preserve">;</w:t>
      </w:r>
      <w:r>
        <w:rPr>
          <w:i w:val="true"/>
          <w:iCs w:val="true"/>
          <w:rtl w:val="true"/>
        </w:rPr>
        <w:t xml:space="preserve">(2)</w:t>
      </w:r>
      <w:r>
        <w:rPr>
          <w:i w:val="true"/>
          <w:iCs w:val="true"/>
          <w:rtl w:val="true"/>
        </w:rPr>
        <w:t xml:space="preserve">הטינטון</w:t>
      </w:r>
      <w:r>
        <w:rPr>
          <w:i w:val="true"/>
          <w:iCs w:val="true"/>
          <w:rtl w:val="true"/>
        </w:rPr>
        <w:t xml:space="preserve"> </w:t>
      </w:r>
      <w:r>
        <w:rPr>
          <w:i w:val="true"/>
          <w:iCs w:val="true"/>
          <w:rtl w:val="true"/>
        </w:rPr>
        <w:t xml:space="preserve">תועד</w:t>
      </w:r>
      <w:r>
        <w:rPr>
          <w:i w:val="true"/>
          <w:iCs w:val="true"/>
          <w:rtl w:val="true"/>
        </w:rPr>
        <w:t xml:space="preserve"> </w:t>
      </w:r>
      <w:r>
        <w:rPr>
          <w:i w:val="true"/>
          <w:iCs w:val="true"/>
          <w:rtl w:val="true"/>
        </w:rPr>
        <w:t xml:space="preserve">לראשונה</w:t>
      </w:r>
      <w:r>
        <w:rPr>
          <w:i w:val="true"/>
          <w:iCs w:val="true"/>
          <w:rtl w:val="true"/>
        </w:rPr>
        <w:t xml:space="preserve"> </w:t>
      </w:r>
      <w:r>
        <w:rPr>
          <w:i w:val="true"/>
          <w:iCs w:val="true"/>
          <w:rtl w:val="true"/>
        </w:rPr>
        <w:t xml:space="preserve">ברשומה</w:t>
      </w:r>
      <w:r>
        <w:rPr>
          <w:i w:val="true"/>
          <w:iCs w:val="true"/>
          <w:rtl w:val="true"/>
        </w:rPr>
        <w:t xml:space="preserve"> </w:t>
      </w:r>
      <w:r>
        <w:rPr>
          <w:i w:val="true"/>
          <w:iCs w:val="true"/>
          <w:rtl w:val="true"/>
        </w:rPr>
        <w:t xml:space="preserve">רפואית</w:t>
      </w:r>
      <w:r>
        <w:rPr>
          <w:i w:val="true"/>
          <w:iCs w:val="true"/>
          <w:rtl w:val="true"/>
        </w:rPr>
        <w:t xml:space="preserve">, </w:t>
      </w:r>
      <w:r>
        <w:rPr>
          <w:i w:val="true"/>
          <w:iCs w:val="true"/>
          <w:rtl w:val="true"/>
        </w:rPr>
        <w:t xml:space="preserve">לפני</w:t>
      </w:r>
      <w:r>
        <w:rPr>
          <w:i w:val="true"/>
          <w:iCs w:val="true"/>
          <w:rtl w:val="true"/>
        </w:rPr>
        <w:t xml:space="preserve"> </w:t>
      </w:r>
      <w:r>
        <w:rPr>
          <w:i w:val="true"/>
          <w:iCs w:val="true"/>
          <w:rtl w:val="true"/>
        </w:rPr>
        <w:t xml:space="preserve">שהמבוטח</w:t>
      </w:r>
      <w:r>
        <w:rPr>
          <w:i w:val="true"/>
          <w:iCs w:val="true"/>
          <w:rtl w:val="true"/>
        </w:rPr>
        <w:t xml:space="preserve"> </w:t>
      </w:r>
      <w:r>
        <w:rPr>
          <w:i w:val="true"/>
          <w:iCs w:val="true"/>
          <w:rtl w:val="true"/>
        </w:rPr>
        <w:t xml:space="preserve">חדל</w:t>
      </w:r>
      <w:r>
        <w:rPr>
          <w:i w:val="true"/>
          <w:iCs w:val="true"/>
          <w:rtl w:val="true"/>
        </w:rPr>
        <w:t xml:space="preserve"> </w:t>
      </w:r>
      <w:r>
        <w:rPr>
          <w:i w:val="true"/>
          <w:iCs w:val="true"/>
          <w:rtl w:val="true"/>
        </w:rPr>
        <w:t xml:space="preserve">לעבוד</w:t>
      </w:r>
      <w:r>
        <w:rPr>
          <w:i w:val="true"/>
          <w:iCs w:val="true"/>
          <w:rtl w:val="true"/>
        </w:rPr>
        <w:t xml:space="preserve"> </w:t>
      </w:r>
      <w:r>
        <w:rPr>
          <w:i w:val="true"/>
          <w:iCs w:val="true"/>
          <w:rtl w:val="true"/>
        </w:rPr>
        <w:t xml:space="preserve">בחשיפה</w:t>
      </w:r>
      <w:r>
        <w:rPr>
          <w:i w:val="true"/>
          <w:iCs w:val="true"/>
          <w:rtl w:val="true"/>
        </w:rPr>
        <w:t xml:space="preserve"> </w:t>
      </w:r>
      <w:r>
        <w:rPr>
          <w:i w:val="true"/>
          <w:iCs w:val="true"/>
          <w:rtl w:val="true"/>
        </w:rPr>
        <w:t xml:space="preserve">לרעש</w:t>
      </w:r>
      <w:r>
        <w:rPr>
          <w:i w:val="true"/>
          <w:iCs w:val="true"/>
          <w:rtl w:val="true"/>
        </w:rPr>
        <w:t xml:space="preserve"> </w:t>
      </w:r>
      <w:r>
        <w:rPr>
          <w:i w:val="true"/>
          <w:iCs w:val="true"/>
          <w:rtl w:val="true"/>
        </w:rPr>
        <w:t xml:space="preserve">מזיק</w:t>
      </w:r>
      <w:r>
        <w:rPr>
          <w:i w:val="true"/>
          <w:iCs w:val="true"/>
          <w:rtl w:val="true"/>
        </w:rPr>
        <w:t xml:space="preserve">;</w:t>
      </w:r>
      <w:r>
        <w:rPr>
          <w:i w:val="true"/>
          <w:iCs w:val="true"/>
          <w:rtl w:val="true"/>
        </w:rPr>
        <w:t xml:space="preserve">(3)</w:t>
      </w:r>
      <w:r>
        <w:rPr>
          <w:i w:val="true"/>
          <w:iCs w:val="true"/>
          <w:rtl w:val="true"/>
        </w:rPr>
        <w:t xml:space="preserve">הפגיעה</w:t>
      </w:r>
      <w:r>
        <w:rPr>
          <w:i w:val="true"/>
          <w:iCs w:val="true"/>
          <w:rtl w:val="true"/>
        </w:rPr>
        <w:t xml:space="preserve"> </w:t>
      </w:r>
      <w:r>
        <w:rPr>
          <w:i w:val="true"/>
          <w:iCs w:val="true"/>
          <w:rtl w:val="true"/>
        </w:rPr>
        <w:t xml:space="preserve">בתפקוד</w:t>
      </w:r>
      <w:r>
        <w:rPr>
          <w:i w:val="true"/>
          <w:iCs w:val="true"/>
          <w:rtl w:val="true"/>
        </w:rPr>
        <w:t xml:space="preserve"> </w:t>
      </w:r>
      <w:r>
        <w:rPr>
          <w:i w:val="true"/>
          <w:iCs w:val="true"/>
          <w:rtl w:val="true"/>
        </w:rPr>
        <w:t xml:space="preserve">עקב</w:t>
      </w:r>
      <w:r>
        <w:rPr>
          <w:i w:val="true"/>
          <w:iCs w:val="true"/>
          <w:rtl w:val="true"/>
        </w:rPr>
        <w:t xml:space="preserve"> </w:t>
      </w:r>
      <w:r>
        <w:rPr>
          <w:i w:val="true"/>
          <w:iCs w:val="true"/>
          <w:rtl w:val="true"/>
        </w:rPr>
        <w:t xml:space="preserve">הטינטון</w:t>
      </w:r>
      <w:r>
        <w:rPr>
          <w:i w:val="true"/>
          <w:iCs w:val="true"/>
          <w:rtl w:val="true"/>
        </w:rPr>
        <w:t xml:space="preserve"> </w:t>
      </w:r>
      <w:r>
        <w:rPr>
          <w:i w:val="true"/>
          <w:iCs w:val="true"/>
          <w:rtl w:val="true"/>
        </w:rPr>
        <w:t xml:space="preserve">חייבה</w:t>
      </w:r>
      <w:r>
        <w:rPr>
          <w:i w:val="true"/>
          <w:iCs w:val="true"/>
          <w:rtl w:val="true"/>
        </w:rPr>
        <w:t xml:space="preserve"> </w:t>
      </w:r>
      <w:r>
        <w:rPr>
          <w:i w:val="true"/>
          <w:iCs w:val="true"/>
          <w:rtl w:val="true"/>
        </w:rPr>
        <w:t xml:space="preserve">פניות</w:t>
      </w:r>
      <w:r>
        <w:rPr>
          <w:i w:val="true"/>
          <w:iCs w:val="true"/>
          <w:rtl w:val="true"/>
        </w:rPr>
        <w:t xml:space="preserve"> </w:t>
      </w:r>
      <w:r>
        <w:rPr>
          <w:i w:val="true"/>
          <w:iCs w:val="true"/>
          <w:rtl w:val="true"/>
        </w:rPr>
        <w:t xml:space="preserve">חוזרות</w:t>
      </w:r>
      <w:r>
        <w:rPr>
          <w:i w:val="true"/>
          <w:iCs w:val="true"/>
          <w:rtl w:val="true"/>
        </w:rPr>
        <w:t xml:space="preserve"> </w:t>
      </w:r>
      <w:r>
        <w:rPr>
          <w:i w:val="true"/>
          <w:iCs w:val="true"/>
          <w:rtl w:val="true"/>
        </w:rPr>
        <w:t xml:space="preserve">ונשנות</w:t>
      </w:r>
      <w:r>
        <w:rPr>
          <w:i w:val="true"/>
          <w:iCs w:val="true"/>
          <w:rtl w:val="true"/>
        </w:rPr>
        <w:t xml:space="preserve"> </w:t>
      </w:r>
      <w:r>
        <w:rPr>
          <w:i w:val="true"/>
          <w:iCs w:val="true"/>
          <w:rtl w:val="true"/>
        </w:rPr>
        <w:t xml:space="preserve">לטיפול</w:t>
      </w:r>
      <w:r>
        <w:rPr>
          <w:i w:val="true"/>
          <w:iCs w:val="true"/>
          <w:rtl w:val="true"/>
        </w:rPr>
        <w:t xml:space="preserve"> </w:t>
      </w:r>
      <w:r>
        <w:rPr>
          <w:i w:val="true"/>
          <w:iCs w:val="true"/>
          <w:rtl w:val="true"/>
        </w:rPr>
        <w:t xml:space="preserve">רפואי</w:t>
      </w:r>
      <w:r>
        <w:rPr>
          <w:i w:val="true"/>
          <w:iCs w:val="true"/>
          <w:rtl w:val="true"/>
        </w:rPr>
        <w:t xml:space="preserve">, </w:t>
      </w:r>
      <w:r>
        <w:rPr>
          <w:i w:val="true"/>
          <w:iCs w:val="true"/>
          <w:rtl w:val="true"/>
        </w:rPr>
        <w:t xml:space="preserve">שתועדו</w:t>
      </w:r>
      <w:r>
        <w:rPr>
          <w:i w:val="true"/>
          <w:iCs w:val="true"/>
          <w:rtl w:val="true"/>
        </w:rPr>
        <w:t xml:space="preserve"> </w:t>
      </w:r>
      <w:r>
        <w:rPr>
          <w:i w:val="true"/>
          <w:iCs w:val="true"/>
          <w:rtl w:val="true"/>
        </w:rPr>
        <w:t xml:space="preserve">ברשומה</w:t>
      </w:r>
      <w:r>
        <w:rPr>
          <w:i w:val="true"/>
          <w:iCs w:val="true"/>
          <w:rtl w:val="true"/>
        </w:rPr>
        <w:t xml:space="preserve"> </w:t>
      </w:r>
      <w:r>
        <w:rPr>
          <w:i w:val="true"/>
          <w:iCs w:val="true"/>
          <w:rtl w:val="true"/>
        </w:rPr>
        <w:t xml:space="preserve">רפואית</w:t>
      </w:r>
      <w:r>
        <w:rPr>
          <w:i w:val="true"/>
          <w:iCs w:val="true"/>
          <w:rtl w:val="true"/>
        </w:rPr>
        <w:t xml:space="preserve">".</w:t>
      </w:r>
      <w:r>
        <w:rPr>
          <w:rtl w:val="true"/>
          <w:sz w:val="28"/>
          <w:szCs w:val="28"/>
        </w:rPr>
        <w:t xml:space="preserve">(ההדגשה הוספה – ל.ג.)</w:t>
      </w:r>
    </w:p>
    <w:p>
      <w:pPr>
        <w:bidi w:val="true"/>
        <w:numPr>
          <w:ilvl w:val="0"/>
          <w:numId w:val="1"/>
        </w:numPr>
      </w:pPr>
      <w:r>
        <w:rPr>
          <w:rtl w:val="true"/>
          <w:sz w:val="28"/>
          <w:szCs w:val="28"/>
        </w:rPr>
        <w:t xml:space="preserve">נקדים ונאמר, כי בהתאם להוראת סעיף 84א (ב)(1) לחוק, אחד מתנאי הסף להכרה בטנטון כפגיעה בעבודה, הוא שמדובר ב"רעש תמידי באוזניים", דהיינו טנטון תמידי. כמו כן, בהתאם לפסיקה, יש משקל לבדיקת מאפייני הטנטון, ועליה להיות חלק מהחומר הרפואי העומד בפני המומחה הרפואי [עב"ל (ארצי) 55429-05-15 המוסד לביטוח לאומי – סעיד ח'ריש (4.1.2017)] יחד עם זאת, כעולה מחוות דעתו של המומחה הרפואי, בדיקת מאפייני הטנטון אינה חזות הכול, יש לבדיקה זו חסרונות רבים, והיא בדיקת עזר נוספת בהערכת הטנטון, שנעשית על יסוד שקלול כל הנתונים הרלוונטיים. בהקשר זה נציין כי בעניין יצחקייב [עב"ל (ארצי) 63705-03-16 חננאל יצחקייב – המוסד לביטוח לאומי (9.7.2017)], טעם עיקרי לדחיית תביעתו של המבוטח היה העובדה שלא עמד בתנאי הקבוע בסעיף 84א(ב)(3) - "הפגיעה בתפקוד עקב הטינטון חייבה פניות חוזרות ונשנות לטיפול רפואי, שתועדו ברשומה רפואית". כמו כן, בעניין יצחקייב העידה בבית הדין האזורי עורכת הבדיקה, ועל פי עדותה הבדיקה נעשתה בתנאים אופטימליים, בחדר אטום ושקט, וקביעתו של בית הדין האזורי בעניין הסתמכות על תוצאות הבדיקה בקביעה כי המבוטח לא הוכיח כי הוא סובל מטנטון תמידי הסתמכה במידה משמעותית גם על עדותה.</w:t>
      </w:r>
    </w:p>
    <w:p>
      <w:pPr>
        <w:bidi w:val="true"/>
        <w:numPr>
          <w:ilvl w:val="0"/>
          <w:numId w:val="1"/>
        </w:numPr>
      </w:pPr>
      <w:r>
        <w:rPr>
          <w:rtl w:val="true"/>
          <w:sz w:val="28"/>
          <w:szCs w:val="28"/>
        </w:rPr>
        <w:t xml:space="preserve">לדעתנו, במקרה הנדון, מבחינת מכלול הנתונים העולים מהתיעוד הרפואי וחוות דעתו של המומחה הרפואי עולה כי המערער הוכיח כי עמד בתנאי הסף של היות הטנטון "טנטון תמידי". זאת, מנימוקים שיפורטו להלן.</w:t>
      </w:r>
    </w:p>
    <w:p>
      <w:pPr>
        <w:bidi w:val="true"/>
        <w:numPr>
          <w:ilvl w:val="0"/>
          <w:numId w:val="1"/>
        </w:numPr>
      </w:pPr>
      <w:r>
        <w:rPr>
          <w:b w:val="true"/>
          <w:bCs w:val="true"/>
          <w:rtl w:val="true"/>
        </w:rPr>
        <w:t xml:space="preserve">הנתונים העולים מהתיעוד הרפואי: </w:t>
      </w:r>
    </w:p>
    <w:p>
      <w:pPr>
        <w:bidi w:val="true"/>
        <w:numPr>
          <w:ilvl w:val="1"/>
          <w:numId w:val="1"/>
        </w:numPr>
      </w:pPr>
      <w:r>
        <w:rPr>
          <w:rtl w:val="true"/>
          <w:sz w:val="28"/>
          <w:szCs w:val="28"/>
        </w:rPr>
        <w:t xml:space="preserve">תלונות המערער מיום 9.1.2013:</w:t>
      </w:r>
      <w:r>
        <w:rPr>
          <w:i w:val="true"/>
          <w:iCs w:val="true"/>
          <w:rtl w:val="true"/>
        </w:rPr>
        <w:t xml:space="preserve">"ירידה בשמיעה </w:t>
      </w:r>
      <w:r>
        <w:rPr>
          <w:b w:val="true"/>
          <w:bCs w:val="true"/>
          <w:i w:val="true"/>
          <w:iCs w:val="true"/>
          <w:rtl w:val="true"/>
        </w:rPr>
        <w:t xml:space="preserve">וטנטון</w:t>
      </w:r>
      <w:r>
        <w:rPr>
          <w:i w:val="true"/>
          <w:iCs w:val="true"/>
          <w:rtl w:val="true"/>
        </w:rPr>
        <w:t xml:space="preserve"> </w:t>
      </w:r>
      <w:r>
        <w:rPr>
          <w:b w:val="true"/>
          <w:bCs w:val="true"/>
          <w:i w:val="true"/>
          <w:iCs w:val="true"/>
          <w:rtl w:val="true"/>
        </w:rPr>
        <w:t xml:space="preserve">חזק ותמידי באוזניים</w:t>
      </w:r>
      <w:r>
        <w:rPr>
          <w:i w:val="true"/>
          <w:iCs w:val="true"/>
          <w:rtl w:val="true"/>
        </w:rPr>
        <w:t xml:space="preserve">. </w:t>
      </w:r>
      <w:r>
        <w:rPr>
          <w:b w:val="true"/>
          <w:bCs w:val="true"/>
          <w:i w:val="true"/>
          <w:iCs w:val="true"/>
          <w:rtl w:val="true"/>
        </w:rPr>
        <w:t xml:space="preserve">הטנטון מפריע לו מאד בחיי היומיום,</w:t>
      </w:r>
      <w:r>
        <w:rPr>
          <w:i w:val="true"/>
          <w:iCs w:val="true"/>
          <w:rtl w:val="true"/>
        </w:rPr>
        <w:t xml:space="preserve"> מקשה בשינה, נאלץ להפעיל טלויזיה בחדר שינה, עייפות במשך היום, לא מרוכז, ונעשה עצבני. הרעש החיצוני מפריע לו מאד ומרגיז אותו. </w:t>
      </w:r>
      <w:r>
        <w:rPr>
          <w:i w:val="true"/>
          <w:iCs w:val="true"/>
          <w:rtl w:val="true"/>
        </w:rPr>
        <w:t xml:space="preserve">מתקשה בהבנת הדיבור.</w:t>
      </w:r>
      <w:r>
        <w:rPr>
          <w:i w:val="true"/>
          <w:iCs w:val="true"/>
          <w:rtl w:val="true"/>
        </w:rPr>
        <w:t xml:space="preserve">עובד בחשיפה לרעש חזק". </w:t>
      </w:r>
    </w:p>
    <w:p>
      <w:pPr>
        <w:bidi w:val="true"/>
        <w:numPr>
          <w:ilvl w:val="1"/>
          <w:numId w:val="1"/>
        </w:numPr>
      </w:pPr>
      <w:r>
        <w:rPr>
          <w:rtl w:val="true"/>
          <w:sz w:val="28"/>
          <w:szCs w:val="28"/>
        </w:rPr>
        <w:t xml:space="preserve">תלונות המערער לרופא קופת חולים מיום 1.5.2013:</w:t>
      </w:r>
      <w:r>
        <w:rPr>
          <w:i w:val="true"/>
          <w:iCs w:val="true"/>
          <w:rtl w:val="true"/>
        </w:rPr>
        <w:t xml:space="preserve">"עדין ירידה בשמיעה </w:t>
      </w:r>
      <w:r>
        <w:rPr>
          <w:b w:val="true"/>
          <w:bCs w:val="true"/>
          <w:i w:val="true"/>
          <w:iCs w:val="true"/>
          <w:rtl w:val="true"/>
        </w:rPr>
        <w:t xml:space="preserve">וטנטון תמידי באזניים</w:t>
      </w:r>
      <w:r>
        <w:rPr>
          <w:i w:val="true"/>
          <w:iCs w:val="true"/>
          <w:rtl w:val="true"/>
        </w:rPr>
        <w:t xml:space="preserve">. </w:t>
      </w:r>
      <w:r>
        <w:rPr>
          <w:i w:val="true"/>
          <w:iCs w:val="true"/>
          <w:rtl w:val="true"/>
        </w:rPr>
        <w:t xml:space="preserve">מטופל ב- </w:t>
      </w:r>
      <w:r>
        <w:rPr>
          <w:i w:val="true"/>
          <w:iCs w:val="true"/>
          <w:rtl w:val="true"/>
        </w:rPr>
        <w:t xml:space="preserve">ELATROLET</w:t>
      </w:r>
      <w:r>
        <w:rPr>
          <w:i w:val="true"/>
          <w:iCs w:val="true"/>
          <w:rtl w:val="true"/>
        </w:rPr>
        <w:t xml:space="preserve"> עדיין ללא הטבה – ימשיך". </w:t>
      </w:r>
    </w:p>
    <w:p>
      <w:pPr>
        <w:bidi w:val="true"/>
        <w:numPr>
          <w:ilvl w:val="1"/>
          <w:numId w:val="1"/>
        </w:numPr>
      </w:pPr>
      <w:r>
        <w:rPr>
          <w:rtl w:val="true"/>
          <w:sz w:val="28"/>
          <w:szCs w:val="28"/>
        </w:rPr>
        <w:t xml:space="preserve">תלונות המערער מיום 4.12.2013:</w:t>
      </w:r>
      <w:r>
        <w:rPr>
          <w:i w:val="true"/>
          <w:iCs w:val="true"/>
          <w:rtl w:val="true"/>
        </w:rPr>
        <w:t xml:space="preserve">"עדיין ירידה בשמיעה </w:t>
      </w:r>
      <w:r>
        <w:rPr>
          <w:b w:val="true"/>
          <w:bCs w:val="true"/>
          <w:i w:val="true"/>
          <w:iCs w:val="true"/>
          <w:rtl w:val="true"/>
        </w:rPr>
        <w:t xml:space="preserve">וטנטון חזק, תמידי באוזניים</w:t>
      </w:r>
      <w:r>
        <w:rPr>
          <w:i w:val="true"/>
          <w:iCs w:val="true"/>
          <w:rtl w:val="true"/>
        </w:rPr>
        <w:t xml:space="preserve">. </w:t>
      </w:r>
      <w:r>
        <w:rPr>
          <w:i w:val="true"/>
          <w:iCs w:val="true"/>
          <w:rtl w:val="true"/>
        </w:rPr>
        <w:t xml:space="preserve">מטופל הרבה זמן ב- </w:t>
      </w:r>
      <w:r>
        <w:rPr>
          <w:i w:val="true"/>
          <w:iCs w:val="true"/>
          <w:rtl w:val="true"/>
        </w:rPr>
        <w:t xml:space="preserve">ELATROLET</w:t>
      </w:r>
      <w:r>
        <w:rPr>
          <w:i w:val="true"/>
          <w:iCs w:val="true"/>
          <w:rtl w:val="true"/>
        </w:rPr>
        <w:t xml:space="preserve"> ללא הטבה. </w:t>
      </w:r>
      <w:r>
        <w:rPr>
          <w:i w:val="true"/>
          <w:iCs w:val="true"/>
          <w:rtl w:val="true"/>
        </w:rPr>
        <w:t xml:space="preserve">יקבל </w:t>
      </w:r>
      <w:r>
        <w:rPr>
          <w:i w:val="true"/>
          <w:iCs w:val="true"/>
          <w:rtl w:val="true"/>
        </w:rPr>
        <w:t xml:space="preserve">MODAL</w:t>
      </w:r>
      <w:r>
        <w:rPr>
          <w:i w:val="true"/>
          <w:iCs w:val="true"/>
          <w:rtl w:val="true"/>
        </w:rPr>
        <w:t xml:space="preserve">".</w:t>
      </w:r>
      <w:r>
        <w:rPr>
          <w:rtl w:val="true"/>
          <w:sz w:val="28"/>
          <w:szCs w:val="28"/>
        </w:rPr>
        <w:t xml:space="preserve">פניות אלה של המערער לטיפול רפואי הן לפני חודש דצמבר 2013 – מועד הגשת תביעתו למוסד לביטוח לאומי (בהחלטת בית הדין האזורי נכתב בטעות כי מועד הגשת התביעה למוסד הוא חודש אוקטובר 2014, אולם כאמור התביעה הוגשה בחודש דצמבר 2013, והמערער הפסיק לעבוד בחשיפה לרעש בחודש אוקטובר 2014). כמו כן ציין המומחה הרפואי כי המערער לפני הגשת תביעתו למוסד המערער פנה לטיפול רפואי והתלונן על הפרעה בתפקוד עקב הטנטון גם בחודש אוקטובר 2013.</w:t>
      </w:r>
      <w:r>
        <w:rPr>
          <w:rtl w:val="true"/>
          <w:sz w:val="28"/>
          <w:szCs w:val="28"/>
        </w:rPr>
        <w:t xml:space="preserve">הנה כי כן, מהתיעוד הרפואי עולה כי המערער פנה באופן חוזר ונשנה לטיפול רפואי עקב סבלו מהטנטון, ובכל הפעמים התלונן על "טנטון תמידי" הגורם לו לסבל, ואף ניתן לו טיפול תרופתי בניסיון להביא להטבה במצבו.</w:t>
      </w:r>
    </w:p>
    <w:p>
      <w:pPr>
        <w:bidi w:val="true"/>
        <w:numPr>
          <w:ilvl w:val="0"/>
          <w:numId w:val="1"/>
        </w:numPr>
      </w:pPr>
      <w:r>
        <w:rPr>
          <w:b w:val="true"/>
          <w:bCs w:val="true"/>
          <w:rtl w:val="true"/>
        </w:rPr>
        <w:t xml:space="preserve">אשר לחוות דעתו של המומחה הרפואי: </w:t>
      </w:r>
    </w:p>
    <w:p>
      <w:pPr>
        <w:bidi w:val="true"/>
        <w:numPr>
          <w:ilvl w:val="0"/>
          <w:numId w:val="1"/>
        </w:numPr>
      </w:pPr>
      <w:r>
        <w:rPr>
          <w:rtl w:val="true"/>
          <w:sz w:val="28"/>
          <w:szCs w:val="28"/>
        </w:rPr>
        <w:t xml:space="preserve">בתשובה לשאלה "האם בדיקת מאפייני הטנטון אופיינית לנזק מרעש, כדרישת סעיף 84א(ב) לחוק, או לאו" השיב המומחה הרפואי כך:</w:t>
      </w:r>
      <w:r>
        <w:rPr>
          <w:b w:val="true"/>
          <w:bCs w:val="true"/>
          <w:i w:val="true"/>
          <w:iCs w:val="true"/>
          <w:rtl w:val="true"/>
        </w:rPr>
        <w:t xml:space="preserve">"</w:t>
      </w:r>
      <w:r>
        <w:rPr>
          <w:b w:val="true"/>
          <w:bCs w:val="true"/>
          <w:u w:val="single"/>
          <w:i w:val="true"/>
          <w:iCs w:val="true"/>
          <w:rtl w:val="true"/>
        </w:rPr>
        <w:t xml:space="preserve">עפ"י</w:t>
      </w:r>
      <w:r>
        <w:rPr>
          <w:b w:val="true"/>
          <w:bCs w:val="true"/>
          <w:i w:val="true"/>
          <w:iCs w:val="true"/>
          <w:rtl w:val="true"/>
        </w:rPr>
        <w:t xml:space="preserve"> דיווח מכון השמיעה של אוניברסיטת חיפה </w:t>
      </w:r>
      <w:r>
        <w:rPr>
          <w:b w:val="true"/>
          <w:bCs w:val="true"/>
          <w:u w:val="single"/>
          <w:i w:val="true"/>
          <w:iCs w:val="true"/>
          <w:rtl w:val="true"/>
        </w:rPr>
        <w:t xml:space="preserve">אין עדות</w:t>
      </w:r>
      <w:r>
        <w:rPr>
          <w:b w:val="true"/>
          <w:bCs w:val="true"/>
          <w:i w:val="true"/>
          <w:iCs w:val="true"/>
          <w:rtl w:val="true"/>
        </w:rPr>
        <w:t xml:space="preserve"> לטינטון כרוני האופייני לחבלה אקוסטית על רקע רעש"</w:t>
      </w:r>
      <w:r>
        <w:rPr>
          <w:b w:val="true"/>
          <w:bCs w:val="true"/>
          <w:rtl w:val="true"/>
        </w:rPr>
        <w:t xml:space="preserve">.</w:t>
      </w:r>
      <w:r>
        <w:rPr>
          <w:rtl w:val="true"/>
          <w:sz w:val="28"/>
          <w:szCs w:val="28"/>
        </w:rPr>
        <w:t xml:space="preserve"> יחד עם זאת, הוסיף המומחה הרפואי בחוות דעתו הראשונה כי –</w:t>
      </w:r>
      <w:r>
        <w:rPr>
          <w:b w:val="true"/>
          <w:bCs w:val="true"/>
          <w:i w:val="true"/>
          <w:iCs w:val="true"/>
          <w:rtl w:val="true"/>
        </w:rPr>
        <w:t xml:space="preserve">ואולם, ובהערת סוגריים, וכידוע, בדיקת מאפיין טינטון (</w:t>
      </w:r>
      <w:r>
        <w:rPr>
          <w:b w:val="true"/>
          <w:bCs w:val="true"/>
          <w:i w:val="true"/>
          <w:iCs w:val="true"/>
          <w:rtl w:val="true"/>
        </w:rPr>
        <w:t xml:space="preserve">Pitch Matching</w:t>
      </w:r>
      <w:r>
        <w:rPr>
          <w:b w:val="true"/>
          <w:bCs w:val="true"/>
          <w:i w:val="true"/>
          <w:iCs w:val="true"/>
          <w:rtl w:val="true"/>
        </w:rPr>
        <w:t xml:space="preserve">) </w:t>
      </w:r>
      <w:r>
        <w:rPr>
          <w:b w:val="true"/>
          <w:bCs w:val="true"/>
          <w:u w:val="single"/>
          <w:i w:val="true"/>
          <w:iCs w:val="true"/>
          <w:rtl w:val="true"/>
        </w:rPr>
        <w:t xml:space="preserve">אינה קובעת</w:t>
      </w:r>
      <w:r>
        <w:rPr>
          <w:b w:val="true"/>
          <w:bCs w:val="true"/>
          <w:i w:val="true"/>
          <w:iCs w:val="true"/>
          <w:rtl w:val="true"/>
        </w:rPr>
        <w:t xml:space="preserve"> אם לחיוב ואם לשלילה את קיומו של תסמין הטינטון אם לאו (וזאת עקב מגבלותיה וחסרונותיה הידועים, והלא מעטים – יש לאמור). לפיכך, בד"כ הינה מהווה </w:t>
      </w:r>
      <w:r>
        <w:rPr>
          <w:b w:val="true"/>
          <w:bCs w:val="true"/>
          <w:u w:val="single"/>
          <w:i w:val="true"/>
          <w:iCs w:val="true"/>
          <w:rtl w:val="true"/>
        </w:rPr>
        <w:t xml:space="preserve">בדיקת עזר נוספת</w:t>
      </w:r>
      <w:r>
        <w:rPr>
          <w:b w:val="true"/>
          <w:bCs w:val="true"/>
          <w:i w:val="true"/>
          <w:iCs w:val="true"/>
          <w:rtl w:val="true"/>
        </w:rPr>
        <w:t xml:space="preserve"> בהערכת הטינטון (וכנראה זו הסיבה שאינה מוזכרת </w:t>
      </w:r>
      <w:r>
        <w:rPr>
          <w:b w:val="true"/>
          <w:bCs w:val="true"/>
          <w:u w:val="single"/>
          <w:i w:val="true"/>
          <w:iCs w:val="true"/>
          <w:rtl w:val="true"/>
        </w:rPr>
        <w:t xml:space="preserve">בתנאי</w:t>
      </w:r>
      <w:r>
        <w:rPr>
          <w:b w:val="true"/>
          <w:bCs w:val="true"/>
          <w:i w:val="true"/>
          <w:iCs w:val="true"/>
          <w:rtl w:val="true"/>
        </w:rPr>
        <w:t xml:space="preserve"> סעיף 84(א)(ב) ו-3.2 הידוע).</w:t>
      </w:r>
      <w:r>
        <w:rPr>
          <w:rtl w:val="true"/>
          <w:sz w:val="28"/>
          <w:szCs w:val="28"/>
        </w:rPr>
        <w:t xml:space="preserve">(ההדגשה בקו תחתון במקור – ל.ג.)</w:t>
      </w:r>
      <w:r>
        <w:rPr>
          <w:rtl w:val="true"/>
          <w:sz w:val="28"/>
          <w:szCs w:val="28"/>
        </w:rPr>
        <w:t xml:space="preserve">עוד קבע המומחה הרפואי כי "קיים קשר סיבתי בין הטנטון לבין ליקויי השמיעה (שפורטו בחוו"ד) והוכרו כפגיעה בעבודה".</w:t>
      </w:r>
      <w:r>
        <w:rPr>
          <w:rtl w:val="true"/>
          <w:sz w:val="28"/>
          <w:szCs w:val="28"/>
        </w:rPr>
        <w:t xml:space="preserve">אנו סבורים, כי מחוות דעתו של המומחה עולה כי תשובתו לשאלה בעניין תוצאות בדיקת מאפייני הטנטון התייחסה לתוצאות בדיקת מאפייני הטנטון ואינה משקפת את הערכתו הכוללת על הטנטון ממנו סובל המערער, וכי ניתן להסיק מחוות דעתו כמכלול כי המערער סובל מטנטון תמידי, מנימוקים אלה:</w:t>
      </w:r>
      <w:r>
        <w:rPr>
          <w:b w:val="true"/>
          <w:bCs w:val="true"/>
          <w:rtl w:val="true"/>
        </w:rPr>
        <w:t xml:space="preserve">ראשית, </w:t>
      </w:r>
      <w:r>
        <w:rPr>
          <w:rtl w:val="true"/>
          <w:sz w:val="28"/>
          <w:szCs w:val="28"/>
        </w:rPr>
        <w:t xml:space="preserve">המומחה נשאל על תוצאות בדיקת מאפייני הטנטון, ובתשובתו מדגיש המומחה הרפואי כי תשובתו היא "עפ"י דיווח מכון השמיעה של אוניברסיטת חיפה", דהיינו תשובתו מתייחסת לתוצאות בדיקת מאפייני הטנטון.</w:t>
      </w:r>
      <w:r>
        <w:rPr>
          <w:b w:val="true"/>
          <w:bCs w:val="true"/>
          <w:rtl w:val="true"/>
        </w:rPr>
        <w:t xml:space="preserve">שנית, </w:t>
      </w:r>
      <w:r>
        <w:rPr>
          <w:rtl w:val="true"/>
          <w:sz w:val="28"/>
          <w:szCs w:val="28"/>
        </w:rPr>
        <w:t xml:space="preserve">בתשובתו, הבהיר המומחה הרפואי כי אין לקבוע את תסמין הטנטון, לחיוב או לשלילה, על יסוד בדיקת מאפייני הטנטון נוכח מגבלותיה וחסרונותיה הרבים, וכי מדובר רק בבדיקת עזר נוספת בהערכת הטנטון, וכי זו הסיבה שבדיקה זו אינה נמנית עם "תנאי סעיף 84(א)(ב) ו-3.2 הידוע)".</w:t>
      </w:r>
      <w:r>
        <w:rPr>
          <w:b w:val="true"/>
          <w:bCs w:val="true"/>
          <w:rtl w:val="true"/>
        </w:rPr>
        <w:t xml:space="preserve">שלישית, </w:t>
      </w:r>
      <w:r>
        <w:rPr>
          <w:rtl w:val="true"/>
          <w:sz w:val="28"/>
          <w:szCs w:val="28"/>
        </w:rPr>
        <w:t xml:space="preserve">המומחה הרפואי קבע כי "קיים קשר סיבתי בין הטנטון לבין ליקויי השמיעה (שפורטו בחוו"ד) והוכרו כפגיעה בעבודה". נוכח העובדה שמתשובת המומחה לשאלה בעניין תוצאות בדיקת מאפייני טנטון עולה כי המומחה הרפואי מודע לתנאי הסף שנקבעו בסעיף 84א(ב) לחוק, תשובתו החיובית בעניין הקשר הסיבתי משקפת כי על פי הערכתו המערער עומד בתנאי הסף, דהיינו הוא סובל מטנטון תמידי.</w:t>
      </w:r>
    </w:p>
    <w:p>
      <w:pPr>
        <w:bidi w:val="true"/>
        <w:numPr>
          <w:ilvl w:val="0"/>
          <w:numId w:val="1"/>
        </w:numPr>
      </w:pPr>
      <w:r>
        <w:rPr>
          <w:b w:val="true"/>
          <w:bCs w:val="true"/>
          <w:rtl w:val="true"/>
        </w:rPr>
        <w:t xml:space="preserve">כללו של דבר: </w:t>
      </w:r>
      <w:r>
        <w:rPr>
          <w:rtl w:val="true"/>
          <w:sz w:val="28"/>
          <w:szCs w:val="28"/>
        </w:rPr>
        <w:t xml:space="preserve">במכלול נסיבותיו של המקרה הנדון, על יסוד התיעוד הרפואי שממנו עולה כי המערער התלונן באופן חוזר ונשנה על פגיעה בתפקוד עקב טנטון תמידי, ועל יסוד חוות דעתו של המומחה הרפואי כמכלול כמוסבר לעיל, אנו קובעים כי יש לקבוע שהמערער סובל מטנטון תמידי, ועל כן יש להכיר בטנטון ממנו סובל המערער כפגיעה בעבודה. נוסיף, כי גם אם קיים ספק, הרי שהספק פועל לטובתו של המערער. יודגש, כי קביעה זו מבוססת על מכלול נסיבותיו של המקרה הנדון, ואין בה כדי לשנות את הפסיקה כי יש משקל לבדיקת מאפייני הטנטון וכי עליה להיות חלק מהחומר הרפואי המועבר למומחה הרפואי, אך כמובהר בדיקה זו אינה חזות הכל אלא חלק ממכלול הנתונים אותם יש לשקול בהערכת הטנטון.</w:t>
      </w:r>
    </w:p>
    <w:p>
      <w:pPr>
        <w:bidi w:val="true"/>
        <w:numPr>
          <w:ilvl w:val="0"/>
          <w:numId w:val="1"/>
        </w:numPr>
      </w:pPr>
      <w:r>
        <w:rPr>
          <w:b w:val="true"/>
          <w:bCs w:val="true"/>
          <w:rtl w:val="true"/>
        </w:rPr>
        <w:t xml:space="preserve">סוף דבר – </w:t>
      </w:r>
      <w:r>
        <w:rPr>
          <w:rtl w:val="true"/>
          <w:sz w:val="28"/>
          <w:szCs w:val="28"/>
        </w:rPr>
        <w:t xml:space="preserve">הערעור מתקבל. המוסד ישלם למערער שכ"ט עו"ד בסך של 4,000 ₪, וזאת בתוך 30 יום.</w:t>
      </w:r>
      <w:r>
        <w:rPr>
          <w:rtl w:val="true"/>
          <w:sz w:val="28"/>
          <w:szCs w:val="28"/>
        </w:rPr>
        <w:t xml:space="preserve"> </w:t>
      </w:r>
      <w:r>
        <w:rPr>
          <w:rtl w:val="true"/>
          <w:sz w:val="28"/>
          <w:szCs w:val="28"/>
        </w:rPr>
        <w:t xml:space="preserve"> </w:t>
      </w:r>
      <w:r>
        <w:rPr>
          <w:b w:val="true"/>
          <w:bCs w:val="true"/>
          <w:rtl w:val="true"/>
        </w:rPr>
        <w:t xml:space="preserve">ניתן היום, </w:t>
      </w:r>
      <w:r>
        <w:rPr>
          <w:b w:val="true"/>
          <w:bCs w:val="true"/>
          <w:rtl w:val="true"/>
        </w:rPr>
        <w:t xml:space="preserve">ט"ז שבט תשע"ט</w:t>
      </w:r>
      <w:r>
        <w:rPr>
          <w:b w:val="true"/>
          <w:bCs w:val="true"/>
          <w:rtl w:val="true"/>
        </w:rPr>
        <w:t xml:space="preserve"> </w:t>
      </w:r>
      <w:r>
        <w:rPr>
          <w:b w:val="true"/>
          <w:bCs w:val="true"/>
          <w:rtl w:val="true"/>
        </w:rPr>
        <w:t xml:space="preserve">(</w:t>
      </w:r>
      <w:r>
        <w:rPr>
          <w:b w:val="true"/>
          <w:bCs w:val="true"/>
          <w:rtl w:val="true"/>
        </w:rPr>
        <w:t xml:space="preserve">22 ינואר 2019</w:t>
      </w:r>
      <w:r>
        <w:rPr>
          <w:b w:val="true"/>
          <w:bCs w:val="true"/>
          <w:rtl w:val="true"/>
        </w:rPr>
        <w:t xml:space="preserve">)</w:t>
      </w:r>
      <w:r>
        <w:rPr>
          <w:b w:val="true"/>
          <w:bCs w:val="true"/>
          <w:rtl w:val="true"/>
        </w:rPr>
        <w:t xml:space="preserve">, בהעדר הצדדים</w:t>
      </w:r>
      <w:r>
        <w:rPr>
          <w:b w:val="true"/>
          <w:bCs w:val="true"/>
          <w:rtl w:val="true"/>
        </w:rPr>
        <w:t xml:space="preserve"> וישלח אליהם</w:t>
      </w:r>
      <w:r>
        <w:rPr>
          <w:b w:val="true"/>
          <w:bCs w:val="true"/>
          <w:rtl w:val="true"/>
        </w:rPr>
        <w:t xml:space="preserve">.</w:t>
      </w:r>
      <w:r>
        <w:rPr>
          <w:rtl w:val="true"/>
          <w:sz w:val="32"/>
          <w:szCs w:val="32"/>
        </w:rPr>
        <w:t xml:space="preserve"> </w:t>
      </w:r>
      <w:r>
        <w:rPr>
          <w:rtl w:val="true"/>
        </w:rPr>
        <w:t xml:space="preserve"> </w:t>
      </w:r>
      <w:r>
        <w:rPr>
          <w:rtl w:val="true"/>
        </w:rPr>
        <w:t xml:space="preserve"> </w:t>
      </w:r>
      <w:r>
        <w:rPr>
          <w:rtl w:val="true"/>
        </w:rPr>
        <w:t xml:space="preserve"> </w:t>
      </w:r>
      <w:r>
        <w:rPr>
          <w:rtl w:val="true"/>
        </w:rPr>
        <w:t xml:space="preserve"> </w:t>
      </w:r>
      <w:r>
        <w:rPr>
          <w:rtl w:val="true"/>
        </w:rPr>
        <w:t xml:space="preserve"> </w:t>
      </w:r>
      <w:r>
        <w:rPr>
          <w:rtl w:val="true"/>
        </w:rPr>
        <w:t xml:space="preserve"> </w:t>
      </w:r>
      <w:r>
        <w:rPr>
          <w:rtl w:val="true"/>
        </w:rPr>
        <w:t xml:space="preserve"> </w:t>
      </w:r>
    </w:p>
    <w:tbl>
      <w:tblPr>
        <w:tblCellSpacing w:w="2" w:type="dxa"/>
        <w:bidiVisual w:val="on"/>
        <w:rtl w:val="true"/>
        <w:tblW w:w="0" w:type="auto"/>
        <w:tblBorders>
          <w:top w:val="single" w:sz="0" w:space="2"/>
        </w:tblBorders>
      </w:tblPr>
      <w:tr>
        <w:tc>
          <w:tcPr>
            <w:gridSpan w:val="1"/>
            <w:tcBorders>
              <w:top w:val="single" w:sz="0" w:space="2"/>
            </w:tcBorders>
            <w:tcW w:w="2820" w:type="dxa"/>
          </w:tcPr>
          <w:p>
            <w:pPr>
              <w:bidi w:val="true"/>
              <w:jc w:val="center"/>
            </w:pPr>
            <w:r>
              <w:rPr>
                <w:rtl w:val="true"/>
              </w:rPr>
              <w:drawing>
                <wp:inline xmlns:wp="http://schemas.openxmlformats.org/drawingml/2006/wordprocessingDrawing" distT="0" distB="0" distL="0" distR="0">
                  <wp:extent cx="1485900" cy="685800"/>
                  <wp:docPr id="1" name="Img_cfb2a088-5554-43b1-bdde-7aee0ba0d1a1"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cfb2a088-5554-43b1-bdde-7aee0ba0d1a1" cstate="print"/>
                          <a:stretch>
                            <a:fillRect/>
                          </a:stretch>
                        </pic:blipFill>
                        <pic:spPr>
                          <a:xfrm>
                            <a:off x="0" y="0"/>
                            <a:ext cx="1485900" cy="685800"/>
                          </a:xfrm>
                          <a:prstGeom prst="rect">
                            <a:avLst/>
                          </a:prstGeom>
                        </pic:spPr>
                      </pic:pic>
                    </a:graphicData>
                  </a:graphic>
                </wp:inline>
              </w:drawing>
            </w:r>
          </w:p>
        </w:tc>
        <w:tc>
          <w:tcPr>
            <w:gridSpan w:val="1"/>
            <w:tcBorders/>
            <w:tcW w:w="570" w:type="dxa"/>
          </w:tcPr>
          <w:p>
            <w:pPr>
              <w:bidi w:val="true"/>
            </w:pPr>
            <w:r>
              <w:rPr>
                <w:rtl w:val="true"/>
              </w:rPr>
              <w:t xml:space="preserve"> </w:t>
            </w:r>
          </w:p>
        </w:tc>
        <w:tc>
          <w:tcPr>
            <w:gridSpan w:val="1"/>
            <w:tcBorders>
              <w:top w:val="single" w:sz="0" w:space="2"/>
            </w:tcBorders>
            <w:tcW w:w="2115" w:type="dxa"/>
          </w:tcPr>
          <w:p>
            <w:pPr>
              <w:bidi w:val="true"/>
              <w:jc w:val="center"/>
            </w:pPr>
            <w:r>
              <w:rPr>
                <w:rtl w:val="true"/>
              </w:rPr>
              <w:drawing>
                <wp:inline xmlns:wp="http://schemas.openxmlformats.org/drawingml/2006/wordprocessingDrawing" distT="0" distB="0" distL="0" distR="0">
                  <wp:extent cx="990600" cy="762000"/>
                  <wp:docPr id="1" name="Img_c1a082cd-c9d0-405a-86d0-ecfcbed98d79"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c1a082cd-c9d0-405a-86d0-ecfcbed98d79" cstate="print"/>
                          <a:stretch>
                            <a:fillRect/>
                          </a:stretch>
                        </pic:blipFill>
                        <pic:spPr>
                          <a:xfrm>
                            <a:off x="0" y="0"/>
                            <a:ext cx="990600" cy="762000"/>
                          </a:xfrm>
                          <a:prstGeom prst="rect">
                            <a:avLst/>
                          </a:prstGeom>
                        </pic:spPr>
                      </pic:pic>
                    </a:graphicData>
                  </a:graphic>
                </wp:inline>
              </w:drawing>
            </w:r>
          </w:p>
        </w:tc>
        <w:tc>
          <w:tcPr>
            <w:gridSpan w:val="1"/>
            <w:tcBorders/>
            <w:tcW w:w="360" w:type="dxa"/>
          </w:tcPr>
          <w:p>
            <w:pPr>
              <w:bidi w:val="true"/>
            </w:pPr>
            <w:r>
              <w:rPr>
                <w:rtl w:val="true"/>
              </w:rPr>
              <w:t xml:space="preserve"> </w:t>
            </w:r>
          </w:p>
        </w:tc>
        <w:tc>
          <w:tcPr>
            <w:gridSpan w:val="1"/>
            <w:tcBorders>
              <w:top w:val="single" w:sz="0" w:space="2"/>
            </w:tcBorders>
            <w:tcW w:w="2625" w:type="dxa"/>
          </w:tcPr>
          <w:p>
            <w:pPr>
              <w:bidi w:val="true"/>
              <w:jc w:val="center"/>
            </w:pPr>
            <w:r>
              <w:rPr>
                <w:b w:val="true"/>
                <w:bCs w:val="true"/>
                <w:rtl w:val="true"/>
              </w:rPr>
            </w:r>
            <w:r>
              <w:rPr>
                <w:b w:val="true"/>
                <w:bCs w:val="true"/>
                <w:rtl w:val="true"/>
              </w:rPr>
              <w:drawing>
                <wp:inline xmlns:wp="http://schemas.openxmlformats.org/drawingml/2006/wordprocessingDrawing" distT="0" distB="0" distL="0" distR="0">
                  <wp:extent cx="885825" cy="809625"/>
                  <wp:docPr id="1" name="Img_90b4c185-261f-4954-98af-5b2238c44195" descr="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xmlns:r="http://schemas.openxmlformats.org/officeDocument/2006/relationships" r:embed="Img_90b4c185-261f-4954-98af-5b2238c44195" cstate="print"/>
                          <a:stretch>
                            <a:fillRect/>
                          </a:stretch>
                        </pic:blipFill>
                        <pic:spPr>
                          <a:xfrm>
                            <a:off x="0" y="0"/>
                            <a:ext cx="885825" cy="809625"/>
                          </a:xfrm>
                          <a:prstGeom prst="rect">
                            <a:avLst/>
                          </a:prstGeom>
                        </pic:spPr>
                      </pic:pic>
                    </a:graphicData>
                  </a:graphic>
                </wp:inline>
              </w:drawing>
            </w:r>
          </w:p>
        </w:tc>
      </w:tr>
      <w:tr>
        <w:tc>
          <w:tcPr>
            <w:gridSpan w:val="1"/>
            <w:tcBorders>
              <w:top w:val="single" w:sz="0" w:space="2"/>
            </w:tcBorders>
            <w:tcW w:w="2820" w:type="dxa"/>
          </w:tcPr>
          <w:p>
            <w:pPr>
              <w:bidi w:val="true"/>
              <w:jc w:val="center"/>
            </w:pPr>
            <w:r>
              <w:rPr>
                <w:b w:val="true"/>
                <w:bCs w:val="true"/>
                <w:rtl w:val="true"/>
              </w:rPr>
              <w:t xml:space="preserve">ורדה וירט-ליבנה,</w:t>
            </w:r>
          </w:p>
          <w:p>
            <w:pPr>
              <w:bidi w:val="true"/>
              <w:jc w:val="center"/>
            </w:pPr>
            <w:r>
              <w:rPr>
                <w:b w:val="true"/>
                <w:bCs w:val="true"/>
                <w:rtl w:val="true"/>
              </w:rPr>
              <w:t xml:space="preserve">נשיאה, אב"ד</w:t>
            </w:r>
          </w:p>
        </w:tc>
        <w:tc>
          <w:tcPr>
            <w:gridSpan w:val="1"/>
            <w:tcBorders/>
            <w:tcW w:w="570" w:type="dxa"/>
          </w:tcPr>
          <w:p>
            <w:pPr>
              <w:bidi w:val="true"/>
            </w:pPr>
            <w:r>
              <w:rPr>
                <w:rtl w:val="true"/>
              </w:rPr>
              <w:t xml:space="preserve"> </w:t>
            </w:r>
          </w:p>
        </w:tc>
        <w:tc>
          <w:tcPr>
            <w:gridSpan w:val="1"/>
            <w:tcBorders>
              <w:top w:val="single" w:sz="0" w:space="2"/>
            </w:tcBorders>
            <w:tcW w:w="2115" w:type="dxa"/>
          </w:tcPr>
          <w:p>
            <w:pPr>
              <w:bidi w:val="true"/>
              <w:jc w:val="center"/>
            </w:pPr>
            <w:r>
              <w:rPr>
                <w:b w:val="true"/>
                <w:bCs w:val="true"/>
                <w:rtl w:val="true"/>
              </w:rPr>
              <w:t xml:space="preserve">אילן איטח,</w:t>
            </w:r>
          </w:p>
          <w:p>
            <w:pPr>
              <w:bidi w:val="true"/>
              <w:jc w:val="center"/>
            </w:pPr>
            <w:r>
              <w:rPr>
                <w:b w:val="true"/>
                <w:bCs w:val="true"/>
                <w:rtl w:val="true"/>
              </w:rPr>
              <w:t xml:space="preserve">סגן נשיאה</w:t>
            </w:r>
          </w:p>
        </w:tc>
        <w:tc>
          <w:tcPr>
            <w:gridSpan w:val="1"/>
            <w:tcBorders/>
            <w:tcW w:w="360" w:type="dxa"/>
          </w:tcPr>
          <w:p>
            <w:pPr>
              <w:bidi w:val="true"/>
            </w:pPr>
            <w:r>
              <w:rPr>
                <w:rtl w:val="true"/>
              </w:rPr>
              <w:t xml:space="preserve"> </w:t>
            </w:r>
          </w:p>
        </w:tc>
        <w:tc>
          <w:tcPr>
            <w:gridSpan w:val="1"/>
            <w:tcBorders>
              <w:top w:val="single" w:sz="0" w:space="2"/>
            </w:tcBorders>
            <w:tcW w:w="2625" w:type="dxa"/>
          </w:tcPr>
          <w:p>
            <w:pPr>
              <w:bidi w:val="true"/>
              <w:jc w:val="center"/>
            </w:pPr>
            <w:r>
              <w:rPr>
                <w:b w:val="true"/>
                <w:bCs w:val="true"/>
                <w:rtl w:val="true"/>
              </w:rPr>
              <w:t xml:space="preserve">לאה גליקסמן,</w:t>
            </w:r>
          </w:p>
          <w:p>
            <w:pPr>
              <w:bidi w:val="true"/>
              <w:jc w:val="center"/>
            </w:pPr>
            <w:r>
              <w:rPr>
                <w:b w:val="true"/>
                <w:bCs w:val="true"/>
                <w:rtl w:val="true"/>
              </w:rPr>
              <w:t xml:space="preserve">שופטת</w:t>
            </w:r>
          </w:p>
        </w:tc>
      </w:tr>
    </w:tbl>
    <w:tbl>
      <w:tblPr>
        <w:tblCellSpacing w:w="2" w:type="dxa"/>
        <w:bidiVisual w:val="on"/>
        <w:rtl w:val="true"/>
        <w:tblW w:w="0" w:type="auto"/>
        <w:tblBorders>
          <w:top w:val="single" w:sz="0" w:space="2"/>
        </w:tblBorders>
      </w:tblPr>
      <w:tr>
        <w:tc>
          <w:tcPr>
            <w:gridSpan w:val="1"/>
            <w:tcBorders/>
            <w:tcW w:w="3405" w:type="dxa"/>
          </w:tcPr>
          <w:tbl>
            <w:tblPr>
              <w:tblCellSpacing w:w="2" w:type="dxa"/>
              <w:bidiVisual w:val="on"/>
              <w:rtl w:val="true"/>
              <w:tblW w:w="3615" w:type="dxa"/>
              <w:tblBorders>
                <w:top w:val="single" w:sz="0" w:space="2"/>
              </w:tblBorders>
            </w:tblPr>
            <w:tr>
              <w:tc>
                <w:tcPr>
                  <w:gridSpan w:val="1"/>
                  <w:tcBorders>
                    <w:top w:val="single" w:sz="0" w:space="2"/>
                  </w:tcBorders>
                  <w:tcW w:w="3615" w:type="dxa"/>
                </w:tcPr>
                <w:p>
                  <w:pPr>
                    <w:bidi w:val="true"/>
                    <w:jc w:val="center"/>
                  </w:pPr>
                  <w:r>
                    <w:rPr>
                      <w:rtl w:val="true"/>
                    </w:rPr>
                    <w:drawing>
                      <wp:inline xmlns:wp="http://schemas.openxmlformats.org/drawingml/2006/wordprocessingDrawing" distT="0" distB="0" distL="0" distR="0">
                        <wp:extent cx="1590675" cy="771525"/>
                        <wp:docPr id="1" name="Img_2320573a-8f28-4953-9f6f-bd84863e2b03" descr="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5"/>
                                <pic:cNvPicPr/>
                              </pic:nvPicPr>
                              <pic:blipFill>
                                <a:blip xmlns:r="http://schemas.openxmlformats.org/officeDocument/2006/relationships" r:embed="Img_2320573a-8f28-4953-9f6f-bd84863e2b03" cstate="print"/>
                                <a:stretch>
                                  <a:fillRect/>
                                </a:stretch>
                              </pic:blipFill>
                              <pic:spPr>
                                <a:xfrm>
                                  <a:off x="0" y="0"/>
                                  <a:ext cx="1590675" cy="771525"/>
                                </a:xfrm>
                                <a:prstGeom prst="rect">
                                  <a:avLst/>
                                </a:prstGeom>
                              </pic:spPr>
                            </pic:pic>
                          </a:graphicData>
                        </a:graphic>
                      </wp:inline>
                    </w:drawing>
                  </w:r>
                </w:p>
              </w:tc>
            </w:tr>
            <w:tr>
              <w:tc>
                <w:tcPr>
                  <w:gridSpan w:val="1"/>
                  <w:tcBorders>
                    <w:top w:val="single" w:sz="0" w:space="2"/>
                  </w:tcBorders>
                  <w:tcW w:w="3615" w:type="dxa"/>
                </w:tcPr>
                <w:p>
                  <w:pPr>
                    <w:bidi w:val="true"/>
                    <w:jc w:val="center"/>
                  </w:pPr>
                  <w:r>
                    <w:rPr>
                      <w:b w:val="true"/>
                      <w:bCs w:val="true"/>
                      <w:rtl w:val="true"/>
                    </w:rPr>
                    <w:t xml:space="preserve">גברת </w:t>
                  </w:r>
                  <w:r>
                    <w:rPr>
                      <w:b w:val="true"/>
                      <w:bCs w:val="true"/>
                      <w:rtl w:val="true"/>
                    </w:rPr>
                    <w:t xml:space="preserve">שרה זילברשטיין-היפש</w:t>
                  </w:r>
                  <w:r>
                    <w:rPr>
                      <w:b w:val="true"/>
                      <w:bCs w:val="true"/>
                      <w:rtl w:val="true"/>
                    </w:rPr>
                    <w:t xml:space="preserve">,</w:t>
                  </w:r>
                </w:p>
                <w:p>
                  <w:pPr>
                    <w:bidi w:val="true"/>
                    <w:jc w:val="center"/>
                  </w:pPr>
                  <w:r>
                    <w:rPr>
                      <w:b w:val="true"/>
                      <w:bCs w:val="true"/>
                      <w:rtl w:val="true"/>
                      <w:sz w:val="28"/>
                      <w:szCs w:val="28"/>
                    </w:rPr>
                    <w:t xml:space="preserve">נציגת </w:t>
                  </w:r>
                  <w:r>
                    <w:rPr>
                      <w:b w:val="true"/>
                      <w:bCs w:val="true"/>
                      <w:rtl w:val="true"/>
                      <w:sz w:val="28"/>
                      <w:szCs w:val="28"/>
                    </w:rPr>
                    <w:t xml:space="preserve">ציבור (עובדים)</w:t>
                  </w:r>
                </w:p>
              </w:tc>
            </w:tr>
          </w:tbl>
          <w:p>
            <w:pPr>
              <w:bidi w:val="true"/>
              <w:jc w:val="center"/>
            </w:pPr>
            <w:r>
              <w:rPr>
                <w:rtl w:val="true"/>
              </w:rPr>
              <w:t xml:space="preserve"> </w:t>
            </w:r>
          </w:p>
        </w:tc>
        <w:tc>
          <w:tcPr>
            <w:gridSpan w:val="1"/>
            <w:tcBorders/>
            <w:tcW w:w="1695" w:type="dxa"/>
          </w:tcPr>
          <w:p>
            <w:pPr>
              <w:bidi w:val="true"/>
            </w:pPr>
            <w:r>
              <w:rPr>
                <w:rtl w:val="true"/>
              </w:rPr>
              <w:t xml:space="preserve"> </w:t>
            </w:r>
          </w:p>
        </w:tc>
        <w:tc>
          <w:tcPr>
            <w:gridSpan w:val="1"/>
            <w:tcBorders/>
            <w:tcW w:w="3405" w:type="dxa"/>
          </w:tcPr>
          <w:tbl>
            <w:tblPr>
              <w:tblCellSpacing w:w="2" w:type="dxa"/>
              <w:bidiVisual w:val="on"/>
              <w:rtl w:val="true"/>
              <w:tblW w:w="0" w:type="auto"/>
              <w:tblBorders>
                <w:top w:val="single" w:sz="0" w:space="2"/>
              </w:tblBorders>
            </w:tblPr>
            <w:tr>
              <w:tc>
                <w:tcPr>
                  <w:gridSpan w:val="1"/>
                  <w:tcBorders>
                    <w:top w:val="single" w:sz="0" w:space="2"/>
                  </w:tcBorders>
                  <w:tcW w:w="3180" w:type="dxa"/>
                </w:tcPr>
                <w:p>
                  <w:pPr>
                    <w:bidi w:val="true"/>
                    <w:jc w:val="center"/>
                  </w:pPr>
                  <w:r>
                    <w:rPr>
                      <w:rtl w:val="true"/>
                    </w:rPr>
                    <w:drawing>
                      <wp:inline xmlns:wp="http://schemas.openxmlformats.org/drawingml/2006/wordprocessingDrawing" distT="0" distB="0" distL="0" distR="0">
                        <wp:extent cx="1371600" cy="685800"/>
                        <wp:docPr id="1" name="Img_21aa33f1-58ca-4ccb-bee0-575e6b1b4a0a" descr="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6"/>
                                <pic:cNvPicPr/>
                              </pic:nvPicPr>
                              <pic:blipFill>
                                <a:blip xmlns:r="http://schemas.openxmlformats.org/officeDocument/2006/relationships" r:embed="Img_21aa33f1-58ca-4ccb-bee0-575e6b1b4a0a" cstate="print"/>
                                <a:stretch>
                                  <a:fillRect/>
                                </a:stretch>
                              </pic:blipFill>
                              <pic:spPr>
                                <a:xfrm>
                                  <a:off x="0" y="0"/>
                                  <a:ext cx="1371600" cy="685800"/>
                                </a:xfrm>
                                <a:prstGeom prst="rect">
                                  <a:avLst/>
                                </a:prstGeom>
                              </pic:spPr>
                            </pic:pic>
                          </a:graphicData>
                        </a:graphic>
                      </wp:inline>
                    </w:drawing>
                  </w:r>
                </w:p>
              </w:tc>
            </w:tr>
            <w:tr>
              <w:tc>
                <w:tcPr>
                  <w:gridSpan w:val="1"/>
                  <w:tcBorders>
                    <w:top w:val="single" w:sz="0" w:space="2"/>
                  </w:tcBorders>
                  <w:tcW w:w="3180" w:type="dxa"/>
                </w:tcPr>
                <w:p>
                  <w:pPr>
                    <w:bidi w:val="true"/>
                    <w:jc w:val="center"/>
                  </w:pPr>
                  <w:r>
                    <w:rPr>
                      <w:b w:val="true"/>
                      <w:bCs w:val="true"/>
                      <w:rtl w:val="true"/>
                    </w:rPr>
                    <w:t xml:space="preserve">מר </w:t>
                  </w:r>
                  <w:r>
                    <w:rPr>
                      <w:b w:val="true"/>
                      <w:bCs w:val="true"/>
                      <w:rtl w:val="true"/>
                    </w:rPr>
                    <w:t xml:space="preserve">עצמון ליפשיץ</w:t>
                  </w:r>
                  <w:r>
                    <w:rPr>
                      <w:b w:val="true"/>
                      <w:bCs w:val="true"/>
                      <w:rtl w:val="true"/>
                    </w:rPr>
                    <w:t xml:space="preserve">,</w:t>
                  </w:r>
                </w:p>
                <w:p>
                  <w:pPr>
                    <w:bidi w:val="true"/>
                    <w:jc w:val="center"/>
                  </w:pPr>
                  <w:r>
                    <w:rPr>
                      <w:b w:val="true"/>
                      <w:bCs w:val="true"/>
                      <w:rtl w:val="true"/>
                      <w:sz w:val="28"/>
                      <w:szCs w:val="28"/>
                    </w:rPr>
                    <w:t xml:space="preserve">נציג </w:t>
                  </w:r>
                  <w:r>
                    <w:rPr>
                      <w:b w:val="true"/>
                      <w:bCs w:val="true"/>
                      <w:rtl w:val="true"/>
                      <w:sz w:val="28"/>
                      <w:szCs w:val="28"/>
                    </w:rPr>
                    <w:t xml:space="preserve">ציבור (</w:t>
                  </w:r>
                  <w:r>
                    <w:rPr>
                      <w:b w:val="true"/>
                      <w:bCs w:val="true"/>
                      <w:rtl w:val="true"/>
                      <w:sz w:val="28"/>
                      <w:szCs w:val="28"/>
                    </w:rPr>
                    <w:t xml:space="preserve">מע</w:t>
                  </w:r>
                  <w:r>
                    <w:rPr>
                      <w:b w:val="true"/>
                      <w:bCs w:val="true"/>
                      <w:rtl w:val="true"/>
                      <w:sz w:val="28"/>
                      <w:szCs w:val="28"/>
                    </w:rPr>
                    <w:t xml:space="preserve">סיק</w:t>
                  </w:r>
                  <w:r>
                    <w:rPr>
                      <w:b w:val="true"/>
                      <w:bCs w:val="true"/>
                      <w:rtl w:val="true"/>
                      <w:sz w:val="28"/>
                      <w:szCs w:val="28"/>
                    </w:rPr>
                    <w:t xml:space="preserve">ים</w:t>
                  </w:r>
                  <w:r>
                    <w:rPr>
                      <w:b w:val="true"/>
                      <w:bCs w:val="true"/>
                      <w:rtl w:val="true"/>
                      <w:sz w:val="28"/>
                      <w:szCs w:val="28"/>
                    </w:rPr>
                    <w:t xml:space="preserve">)</w:t>
                  </w:r>
                </w:p>
              </w:tc>
            </w:tr>
          </w:tbl>
          <w:p>
            <w:pPr>
              <w:bidi w:val="true"/>
              <w:jc w:val="center"/>
            </w:pPr>
            <w:r>
              <w:rPr>
                <w:rtl w:val="true"/>
              </w:rPr>
              <w:t xml:space="preserve"> </w:t>
            </w:r>
          </w:p>
        </w:tc>
      </w:tr>
    </w:tbl>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9417d1c65cac4d4e">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f879ea5b-d262-4d2e-bbdd-2e8aa1888b8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f879ea5b-d262-4d2e-bbdd-2e8aa1888b81"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lvl w:ilvl="1">
      <w:start w:val="1"/>
      <w:numFmt w:val="decimal"/>
      <w:lvlText w:val="%2."/>
      <w:lvlJc w:val="left"/>
      <w:pPr>
        <w:ind w:left="2520" w:hanging="360"/>
      </w:pPr>
    </w:lvl>
  </w:abstractNum>
  <w:num w:numId="1">
    <w:abstractNumId w:val="0"/>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6e4360c611cf4dd5" /><Relationship Type="http://schemas.openxmlformats.org/officeDocument/2006/relationships/styles" Target="/word/styles.xml" Id="R4b6260d528d7417b" /><Relationship Type="http://schemas.openxmlformats.org/officeDocument/2006/relationships/numbering" Target="/word/numbering.xml" Id="Rd4bae2570a2f4dcd" /><Relationship Type="http://schemas.openxmlformats.org/officeDocument/2006/relationships/image" Target="/media/image2.jpg" Id="Img_cfb2a088-5554-43b1-bdde-7aee0ba0d1a1" /><Relationship Type="http://schemas.openxmlformats.org/officeDocument/2006/relationships/image" Target="/media/image3.jpg" Id="Img_c1a082cd-c9d0-405a-86d0-ecfcbed98d79" /><Relationship Type="http://schemas.openxmlformats.org/officeDocument/2006/relationships/image" Target="/media/image4.jpg" Id="Img_90b4c185-261f-4954-98af-5b2238c44195" /><Relationship Type="http://schemas.openxmlformats.org/officeDocument/2006/relationships/image" Target="/media/image5.jpg" Id="Img_2320573a-8f28-4953-9f6f-bd84863e2b03" /><Relationship Type="http://schemas.openxmlformats.org/officeDocument/2006/relationships/image" Target="/media/image6.jpg" Id="Img_21aa33f1-58ca-4ccb-bee0-575e6b1b4a0a" /><Relationship Type="http://schemas.openxmlformats.org/officeDocument/2006/relationships/footer" Target="/word/footer.xml" Id="Ra982679b201d443f" /></Relationships>
</file>

<file path=word/_rels/footer.xml.rels>&#65279;<?xml version="1.0" encoding="utf-8"?><Relationships xmlns="http://schemas.openxmlformats.org/package/2006/relationships"><Relationship Type="http://schemas.openxmlformats.org/officeDocument/2006/relationships/hyperlink" Target="/" TargetMode="External" Id="R9417d1c65cac4d4e" /></Relationships>
</file>

<file path=word/_rels/header.xml.rels>&#65279;<?xml version="1.0" encoding="utf-8"?><Relationships xmlns="http://schemas.openxmlformats.org/package/2006/relationships"><Relationship Type="http://schemas.openxmlformats.org/officeDocument/2006/relationships/image" Target="/media/image.jpg" Id="Img_f879ea5b-d262-4d2e-bbdd-2e8aa1888b81" /></Relationships>
</file>