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83ad9a15e64e8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d7572c4c7814cd3"/>
      <w:headerReference xmlns:r="http://schemas.openxmlformats.org/officeDocument/2006/relationships" w:type="default" r:id="R12caf09b96614c2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בטבריה</w:t>
            </w:r>
          </w:p>
        </w:tc>
      </w:tr>
      <w:tr>
        <w:tc>
          <w:tcPr>
            <w:gridSpan w:val="3"/>
            <w:tcBorders/>
          </w:tcPr>
          <w:p>
            <w:pPr>
              <w:bidi w:val="true"/>
            </w:pPr>
            <w:br/>
          </w:p>
        </w:tc>
      </w:tr>
      <w:tr>
        <w:tc>
          <w:tcPr>
            <w:gridSpan w:val="2"/>
            <w:tcBorders/>
          </w:tcPr>
          <w:p>
            <w:pPr>
              <w:bidi w:val="true"/>
            </w:pPr>
            <w:r>
              <w:rPr>
                <w:rtl w:val="true"/>
              </w:rPr>
              <w:t xml:space="preserve">בקשה ליישוב סכסוך</w:t>
            </w:r>
          </w:p>
        </w:tc>
        <w:tc>
          <w:tcPr>
            <w:gridSpan w:val="1"/>
            <w:tcBorders/>
            <w:tcW w:w="1500" w:type="pct"/>
          </w:tcPr>
          <w:p>
            <w:pPr>
              <w:bidi w:val="true"/>
              <w:jc w:val="right"/>
            </w:pPr>
            <w:r>
              <w:rPr>
                <w:rtl w:val="true"/>
              </w:rPr>
              <w:t xml:space="preserve">5 יונ 2017</w:t>
            </w:r>
            <w:br/>
            <w:r>
              <w:rPr>
                <w:rtl w:val="true"/>
              </w:rPr>
              <w:t xml:space="preserve">1045873-4</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חיים בזק - אב"ד</w:t>
            </w:r>
            <w:br/>
            <w:r>
              <w:rPr>
                <w:rtl w:val="true"/>
              </w:rPr>
              <w:t xml:space="preserve">2. הרב שלמה שושן</w:t>
            </w:r>
            <w:br/>
            <w:r>
              <w:rPr>
                <w:rtl w:val="true"/>
              </w:rPr>
              <w:t xml:space="preserve">3. הרב ינון בוארון</w:t>
            </w:r>
            <w:br/>
          </w:p>
        </w:tc>
      </w:tr>
      <w:tr>
        <w:tc>
          <w:tcPr>
            <w:gridSpan w:val="3"/>
            <w:tcBorders/>
          </w:tcPr>
          <w:p>
            <w:pPr>
              <w:bidi w:val="true"/>
            </w:pPr>
            <w:br/>
          </w:p>
        </w:tc>
      </w:tr>
      <w:tr>
        <w:tc>
          <w:tcPr>
            <w:gridSpan w:val="1"/>
            <w:tcBorders/>
          </w:tcPr>
          <w:p>
            <w:pPr>
              <w:bidi w:val="true"/>
            </w:pPr>
            <w:r>
              <w:rPr>
                <w:b w:val="true"/>
                <w:bCs w:val="true"/>
                <w:rtl w:val="true"/>
              </w:rPr>
              <w:t xml:space="preserve">המבקש</w:t>
            </w:r>
          </w:p>
        </w:tc>
        <w:tc>
          <w:tcPr>
            <w:gridSpan w:val="2"/>
            <w:tcBorders/>
          </w:tcPr>
          <w:p>
            <w:pPr>
              <w:bidi w:val="true"/>
            </w:pPr>
            <w:r>
              <w:rPr>
                <w:rtl w:val="true"/>
              </w:rPr>
              <w:t xml:space="preserve">פלוני</w:t>
            </w:r>
            <w:br/>
            <w:r>
              <w:rPr>
                <w:rtl w:val="true"/>
              </w:rPr>
              <w:t xml:space="preserve">ע"י עו"ד רחל ממאן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פלונית</w:t>
            </w:r>
            <w:br/>
            <w:r>
              <w:rPr>
                <w:rtl w:val="true"/>
              </w:rPr>
              <w:t xml:space="preserve">ע"י עו"ד מאירה אזרד</w:t>
            </w:r>
          </w:p>
        </w:tc>
      </w:tr>
    </w:tbl>
    <w:p>
      <w:pPr>
        <w:bidi w:val="true"/>
        <w:jc w:val="center"/>
      </w:pPr>
      <w:r>
        <w:rPr>
          <w:b w:val="true"/>
          <w:bCs w:val="true"/>
          <w:u w:val="single"/>
          <w:rtl w:val="true"/>
          <w:sz w:val="32"/>
          <w:szCs w:val="32"/>
        </w:rPr>
        <w:t xml:space="preserve">החלטה</w:t>
      </w:r>
      <w:r>
        <w:rPr>
          <w:rtl w:val="true"/>
        </w:rPr>
        <w:t xml:space="preserve"> </w:t>
      </w:r>
    </w:p>
    <w:p>
      <w:pPr>
        <w:bidi w:val="true"/>
      </w:pPr>
      <w:r>
        <w:rPr>
          <w:rtl w:val="true"/>
        </w:rPr>
        <w:t xml:space="preserve"> </w:t>
      </w:r>
    </w:p>
    <w:p>
      <w:pPr>
        <w:bidi w:val="true"/>
      </w:pPr>
      <w:r>
        <w:rPr>
          <w:rtl w:val="true"/>
        </w:rPr>
        <w:t xml:space="preserve"> </w:t>
      </w:r>
    </w:p>
    <w:p>
      <w:pPr>
        <w:bidi w:val="true"/>
        <w:jc w:val="both"/>
      </w:pPr>
      <w:r>
        <w:rPr>
          <w:rtl w:val="true"/>
        </w:rPr>
        <w:t xml:space="preserve">התקבלה בקשה מטעם האשה לקיצור תקופת הליכי המהו"ת בתיק זה. כמו כן התקבלה התנגדות לבקשה מטעם הבעל ועותק יועבר לצד השני. לטענת האשה, קיים הסכם גירושין מאושר ושני הצדדים מעוניינים להתגרש ואין כל הצדקה להמשך עיכוב ההליכים. הבעל טוען כי יש לאפשר לצדדים להגיע להסכמות בנושאים שבהם השתנו התנאים מאז אישור ההסכם, לאחר שאחד הקטינים עבר למשמורתו, ואין לאשר קיצור עיכוב ההליכים אלא יש לנסות תחילה ליישב את חילוקי הדעות בדרכי משא ומתן.</w:t>
      </w:r>
    </w:p>
    <w:p>
      <w:pPr>
        <w:bidi w:val="true"/>
        <w:jc w:val="both"/>
      </w:pPr>
      <w:r>
        <w:rPr>
          <w:rtl w:val="true"/>
        </w:rPr>
        <w:t xml:space="preserve">לאחר עיון בבקשה, בתגובה ובתיקים, מאשר בית הדין את הבקשה לקיצור תקופת העיכוב. האישור ניתן על פי התיקון האחרון לתקנות להסדר התדיינויות בסכסוכי משפחה (הוראת שעה), תשע"ו-2016. בהתאם לתיקון, נכתב בסעיף 16 א' לתקנות, כי:</w:t>
      </w:r>
    </w:p>
    <w:p>
      <w:pPr>
        <w:bidi w:val="true"/>
        <w:jc w:val="both"/>
      </w:pPr>
      <w:r>
        <w:rPr>
          <w:rtl w:val="true"/>
        </w:rPr>
        <w:t xml:space="preserve">בעניינים אלה רשאית הערכאה השיפוטית וכו' לקצר את תקופת עיכוב ההליכים:</w:t>
      </w:r>
    </w:p>
    <w:p>
      <w:pPr>
        <w:bidi w:val="true"/>
        <w:jc w:val="both"/>
      </w:pPr>
      <w:r>
        <w:rPr>
          <w:rtl w:val="true"/>
        </w:rPr>
        <w:t xml:space="preserve">[...]</w:t>
      </w:r>
    </w:p>
    <w:p>
      <w:pPr>
        <w:bidi w:val="true"/>
        <w:jc w:val="both"/>
      </w:pPr>
      <w:r>
        <w:rPr>
          <w:rtl w:val="true"/>
        </w:rPr>
        <w:t xml:space="preserve">(3) לצורך תובענה בעניין של סכסוך משפחתי אם הוגשה בקשה חדשה ליישוב סכסוך בתוך שנה מהגשת בקשה קודמת כאמור שלגביה חלפו התקופות המנויות בסעיף 3(ה) לחוק, או אם מתקיימת בין הצדדים התדיינות שיפוטית בעניין אחר של סכסוך משפחתי בערכאה שיפוטית כלשהי או שהתדיינות כאמור הסתיימה בתוך השנה שקדמה להגשת הבקשה החדשה.</w:t>
      </w:r>
    </w:p>
    <w:p>
      <w:pPr>
        <w:bidi w:val="true"/>
        <w:jc w:val="both"/>
      </w:pPr>
      <w:r>
        <w:rPr>
          <w:rtl w:val="true"/>
        </w:rPr>
        <w:t xml:space="preserve">בנדון שבפנינו, התקיימה התדיינות שיפוטית בין הצדדים בערכאה אחרת לפני מספר חודשים ואושר הסכם גירושין.  כמו כן, ביום כ"ב באדר התשע"ז (20/03/2017), ניתן פסק דין לגירושין בהסכמה, לאחר שהצדדים הופיעו בפני בית הדין, הצהירו במסגרת הדיון שהתקיים בבית הדין על הסכמתם לסידור הגט ובית הדין הבהיר להם מהם התנאים הנחוצים להשלמת ההליך. למרות זאת, כאשר הגיעו לבית הדין לצורך מתן הגט, הבעל חזר בו מהסכמתו ודרש לשנות סעיפים בהסכם המאושר, בטרם מתן הגט. הבעל איננו טוען שיש סיכוי כל שהוא לשלום בית, אלא מעלה טענות חמורות המצדיקות גירושין בהקדם. עיכוב הגט מטרתו ברורה – סחטנות כלפי האשה שתסכים לדרישותיו. התנהלות זו איננה מצדיקה המשך עיכוב ההליכים, ומטרתה לגרום אך ורק לסחבת. הטענות שמעלה הבעל, גם אם הן צודקות, אין להן שום קשר לנושא הגירושין ועוסקות בנושא המשמורת והמזונות, נושא שאינו קשור לנתינת הגט, שניתן להסדירו גם לאחר סידור הגט.</w:t>
      </w:r>
    </w:p>
    <w:p>
      <w:pPr>
        <w:bidi w:val="true"/>
        <w:jc w:val="both"/>
      </w:pPr>
      <w:r>
        <w:rPr>
          <w:rtl w:val="true"/>
        </w:rPr>
        <w:t xml:space="preserve">המצב המתואר, מתאים לאמור בתקנה הנ"ל בענין קיום "התדיינות שיפוטית בעניין אחר של סכסוך משפחתי בערכאה שיפוטית כלשהי". גם אם נאמר שההתדיינות הסתיימה, עדיין מתקיים התנאי "שהתדיינות כאמור הסתיימה בתוך השנה שקדמה להגשת הבקשה החדשה". משום כך מאשר בית הדין לאשה להגיש מידית כל תביעה שתמצא לנכון על מנת לקדם את הליך הגירושין.</w:t>
      </w:r>
    </w:p>
    <w:p>
      <w:pPr>
        <w:bidi w:val="true"/>
        <w:jc w:val="both"/>
      </w:pPr>
      <w:r>
        <w:rPr>
          <w:rtl w:val="true"/>
        </w:rPr>
        <w:t xml:space="preserve">ההחלטה מותרת לפרסום לאחר השמטת פרטי הזיהוי של הצדדים</w:t>
      </w:r>
    </w:p>
    <w:p>
      <w:pPr>
        <w:bidi w:val="true"/>
        <w:jc w:val="both"/>
      </w:pPr>
      <w:r>
        <w:rPr>
          <w:rtl w:val="true"/>
        </w:rPr>
        <w:t xml:space="preserve">ניתן ביום י"א בסיון התשע"ז (05/06/2017).           </w:t>
      </w:r>
    </w:p>
    <w:p>
      <w:pPr>
        <w:bidi w:val="true"/>
        <w:jc w:val="both"/>
      </w:pPr>
      <w:r>
        <w:rPr>
          <w:rtl w:val="true"/>
        </w:rPr>
        <w:t xml:space="preserve">הרב חיים בזק – אב"ד                     הרב שלמה שושן                      הרב ינון בוארון</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32d09ec9c4f4f7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d7da232-df23-4184-b829-f949f1640f3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d7da232-df23-4184-b829-f949f1640f3a"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12caf09b96614c29" /><Relationship Type="http://schemas.openxmlformats.org/officeDocument/2006/relationships/footer" Target="/word/footer.xml" Id="R4d7572c4c7814cd3" /></Relationships>
</file>

<file path=word/_rels/footer.xml.rels>&#65279;<?xml version="1.0" encoding="utf-8"?><Relationships xmlns="http://schemas.openxmlformats.org/package/2006/relationships"><Relationship Type="http://schemas.openxmlformats.org/officeDocument/2006/relationships/hyperlink" Target="/" TargetMode="External" Id="R032d09ec9c4f4f73" /></Relationships>
</file>

<file path=word/_rels/header.xml.rels>&#65279;<?xml version="1.0" encoding="utf-8"?><Relationships xmlns="http://schemas.openxmlformats.org/package/2006/relationships"><Relationship Type="http://schemas.openxmlformats.org/officeDocument/2006/relationships/image" Target="/media/image.jpg" Id="Img_6d7da232-df23-4184-b829-f949f1640f3a" /></Relationships>
</file>