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E0" w:rsidRPr="009873E0" w:rsidRDefault="009873E0" w:rsidP="009873E0">
      <w:pPr>
        <w:spacing w:after="0" w:line="240" w:lineRule="auto"/>
        <w:rPr>
          <w:rFonts w:ascii="Arial" w:eastAsia="Times New Roman" w:hAnsi="Arial" w:cs="David"/>
          <w:b/>
          <w:bCs/>
          <w:color w:val="333333"/>
          <w:sz w:val="28"/>
          <w:szCs w:val="28"/>
          <w:u w:val="single"/>
          <w:rtl/>
        </w:rPr>
      </w:pPr>
      <w:bookmarkStart w:id="0" w:name="_GoBack"/>
      <w:bookmarkEnd w:id="0"/>
      <w:r w:rsidRPr="009873E0">
        <w:rPr>
          <w:rFonts w:ascii="Arial" w:eastAsia="Times New Roman" w:hAnsi="Arial" w:cs="David" w:hint="cs"/>
          <w:b/>
          <w:bCs/>
          <w:color w:val="333333"/>
          <w:sz w:val="28"/>
          <w:szCs w:val="28"/>
          <w:u w:val="single"/>
          <w:rtl/>
        </w:rPr>
        <w:t>הפרשות לפנסיה לעובדי אבטחה ושמירה:</w:t>
      </w:r>
    </w:p>
    <w:p w:rsidR="009873E0" w:rsidRPr="009873E0" w:rsidRDefault="009873E0" w:rsidP="009873E0">
      <w:pPr>
        <w:spacing w:after="0" w:line="240" w:lineRule="auto"/>
        <w:rPr>
          <w:rFonts w:ascii="Arial" w:eastAsia="Times New Roman" w:hAnsi="Arial" w:cs="David"/>
          <w:b/>
          <w:bCs/>
          <w:color w:val="333333"/>
          <w:sz w:val="24"/>
          <w:szCs w:val="24"/>
          <w:rtl/>
        </w:rPr>
      </w:pPr>
    </w:p>
    <w:p w:rsidR="009873E0" w:rsidRPr="009873E0" w:rsidRDefault="009873E0" w:rsidP="009873E0">
      <w:pPr>
        <w:spacing w:after="0" w:line="240" w:lineRule="auto"/>
        <w:rPr>
          <w:rFonts w:ascii="Arial" w:eastAsia="Times New Roman" w:hAnsi="Arial" w:cs="David"/>
          <w:color w:val="333333"/>
          <w:sz w:val="24"/>
          <w:szCs w:val="24"/>
          <w:rtl/>
        </w:rPr>
      </w:pPr>
      <w:r w:rsidRPr="009873E0">
        <w:rPr>
          <w:rFonts w:ascii="Arial" w:eastAsia="Times New Roman" w:hAnsi="Arial" w:cs="David"/>
          <w:b/>
          <w:bCs/>
          <w:color w:val="333333"/>
          <w:sz w:val="24"/>
          <w:szCs w:val="24"/>
          <w:rtl/>
        </w:rPr>
        <w:t>מעסיקים רבים נמנעים מלהפריש פנסיה לעובדי השמירה על פי צווי ההרחבה בשיעור מיטיב של 6% ומפרישים בשיעורים נמוכים, או שלא מפרישים כלל, או שמפרישים באיחור.</w:t>
      </w:r>
      <w:r w:rsidRPr="009873E0">
        <w:rPr>
          <w:rFonts w:ascii="Arial" w:eastAsia="Times New Roman" w:hAnsi="Arial" w:cs="David"/>
          <w:color w:val="333333"/>
          <w:sz w:val="24"/>
          <w:szCs w:val="24"/>
          <w:rtl/>
        </w:rPr>
        <w:t> </w:t>
      </w:r>
    </w:p>
    <w:p w:rsidR="009873E0" w:rsidRPr="009873E0" w:rsidRDefault="009873E0" w:rsidP="009873E0">
      <w:pPr>
        <w:spacing w:after="0" w:line="240" w:lineRule="auto"/>
        <w:rPr>
          <w:rFonts w:ascii="Arial" w:eastAsia="Times New Roman" w:hAnsi="Arial" w:cs="David"/>
          <w:color w:val="333333"/>
          <w:sz w:val="24"/>
          <w:szCs w:val="24"/>
          <w:rtl/>
        </w:rPr>
      </w:pPr>
      <w:r w:rsidRPr="009873E0">
        <w:rPr>
          <w:rFonts w:ascii="Arial" w:eastAsia="Times New Roman" w:hAnsi="Arial" w:cs="David"/>
          <w:color w:val="333333"/>
          <w:sz w:val="24"/>
          <w:szCs w:val="24"/>
          <w:rtl/>
        </w:rPr>
        <w:t xml:space="preserve">המעסיק מחויב </w:t>
      </w:r>
      <w:r>
        <w:rPr>
          <w:rFonts w:ascii="Arial" w:eastAsia="Times New Roman" w:hAnsi="Arial" w:cs="David" w:hint="cs"/>
          <w:color w:val="333333"/>
          <w:sz w:val="24"/>
          <w:szCs w:val="24"/>
          <w:rtl/>
        </w:rPr>
        <w:t>ל</w:t>
      </w:r>
      <w:r w:rsidRPr="009873E0">
        <w:rPr>
          <w:rFonts w:ascii="Arial" w:eastAsia="Times New Roman" w:hAnsi="Arial" w:cs="David"/>
          <w:color w:val="333333"/>
          <w:sz w:val="24"/>
          <w:szCs w:val="24"/>
          <w:rtl/>
        </w:rPr>
        <w:t>הפריש ל</w:t>
      </w:r>
      <w:r>
        <w:rPr>
          <w:rFonts w:ascii="Arial" w:eastAsia="Times New Roman" w:hAnsi="Arial" w:cs="David" w:hint="cs"/>
          <w:color w:val="333333"/>
          <w:sz w:val="24"/>
          <w:szCs w:val="24"/>
          <w:rtl/>
        </w:rPr>
        <w:t>עובד שמירה ואבטחה,</w:t>
      </w:r>
      <w:r w:rsidRPr="009873E0">
        <w:rPr>
          <w:rFonts w:ascii="Arial" w:eastAsia="Times New Roman" w:hAnsi="Arial" w:cs="David"/>
          <w:color w:val="333333"/>
          <w:sz w:val="24"/>
          <w:szCs w:val="24"/>
          <w:rtl/>
        </w:rPr>
        <w:t xml:space="preserve"> מדי חודש </w:t>
      </w:r>
      <w:r>
        <w:rPr>
          <w:rFonts w:ascii="Arial" w:eastAsia="Times New Roman" w:hAnsi="Arial" w:cs="David" w:hint="cs"/>
          <w:color w:val="333333"/>
          <w:sz w:val="24"/>
          <w:szCs w:val="24"/>
          <w:rtl/>
        </w:rPr>
        <w:t xml:space="preserve">הפרשות על </w:t>
      </w:r>
      <w:r w:rsidRPr="009873E0">
        <w:rPr>
          <w:rFonts w:ascii="Arial" w:eastAsia="Times New Roman" w:hAnsi="Arial" w:cs="David"/>
          <w:color w:val="333333"/>
          <w:sz w:val="24"/>
          <w:szCs w:val="24"/>
          <w:rtl/>
        </w:rPr>
        <w:t xml:space="preserve">סך של 6% </w:t>
      </w:r>
      <w:r>
        <w:rPr>
          <w:rFonts w:ascii="Arial" w:eastAsia="Times New Roman" w:hAnsi="Arial" w:cs="David" w:hint="cs"/>
          <w:color w:val="333333"/>
          <w:sz w:val="24"/>
          <w:szCs w:val="24"/>
          <w:rtl/>
        </w:rPr>
        <w:t xml:space="preserve">משכרו לתגמולים, החל מתחילת עבודתו, בהנחה והשלים 6 חודשי עבודה, </w:t>
      </w:r>
      <w:r w:rsidRPr="009873E0">
        <w:rPr>
          <w:rFonts w:ascii="Arial" w:eastAsia="Times New Roman" w:hAnsi="Arial" w:cs="David"/>
          <w:color w:val="333333"/>
          <w:sz w:val="24"/>
          <w:szCs w:val="24"/>
          <w:rtl/>
        </w:rPr>
        <w:t xml:space="preserve">עובדים רבים </w:t>
      </w:r>
      <w:r>
        <w:rPr>
          <w:rFonts w:ascii="Arial" w:eastAsia="Times New Roman" w:hAnsi="Arial" w:cs="David" w:hint="cs"/>
          <w:color w:val="333333"/>
          <w:sz w:val="24"/>
          <w:szCs w:val="24"/>
          <w:rtl/>
        </w:rPr>
        <w:t xml:space="preserve">בענף השמירה </w:t>
      </w:r>
      <w:r w:rsidRPr="009873E0">
        <w:rPr>
          <w:rFonts w:ascii="Arial" w:eastAsia="Times New Roman" w:hAnsi="Arial" w:cs="David"/>
          <w:color w:val="333333"/>
          <w:sz w:val="24"/>
          <w:szCs w:val="24"/>
          <w:rtl/>
        </w:rPr>
        <w:t xml:space="preserve">אינם </w:t>
      </w:r>
      <w:r>
        <w:rPr>
          <w:rFonts w:ascii="Arial" w:eastAsia="Times New Roman" w:hAnsi="Arial" w:cs="David" w:hint="cs"/>
          <w:color w:val="333333"/>
          <w:sz w:val="24"/>
          <w:szCs w:val="24"/>
          <w:rtl/>
        </w:rPr>
        <w:t>מודעים לזכאותם זאת.</w:t>
      </w:r>
    </w:p>
    <w:p w:rsidR="009873E0" w:rsidRPr="009873E0" w:rsidRDefault="009873E0" w:rsidP="009873E0">
      <w:pPr>
        <w:spacing w:after="0" w:line="240" w:lineRule="auto"/>
        <w:rPr>
          <w:rFonts w:ascii="Arial" w:eastAsia="Times New Roman" w:hAnsi="Arial" w:cs="David"/>
          <w:color w:val="333333"/>
          <w:sz w:val="24"/>
          <w:szCs w:val="24"/>
          <w:rtl/>
        </w:rPr>
      </w:pPr>
      <w:r w:rsidRPr="009873E0">
        <w:rPr>
          <w:rFonts w:ascii="Arial" w:eastAsia="Times New Roman" w:hAnsi="Arial" w:cs="David"/>
          <w:color w:val="333333"/>
          <w:sz w:val="24"/>
          <w:szCs w:val="24"/>
          <w:rtl/>
        </w:rPr>
        <w:t> </w:t>
      </w:r>
    </w:p>
    <w:p w:rsidR="009873E0" w:rsidRPr="009873E0" w:rsidRDefault="009873E0" w:rsidP="009873E0">
      <w:pPr>
        <w:spacing w:after="0" w:line="240" w:lineRule="auto"/>
        <w:rPr>
          <w:rFonts w:ascii="Arial" w:eastAsia="Times New Roman" w:hAnsi="Arial" w:cs="David"/>
          <w:color w:val="333333"/>
          <w:sz w:val="24"/>
          <w:szCs w:val="24"/>
          <w:rtl/>
        </w:rPr>
      </w:pPr>
      <w:r w:rsidRPr="009873E0">
        <w:rPr>
          <w:rFonts w:ascii="Arial" w:eastAsia="Times New Roman" w:hAnsi="Arial" w:cs="David"/>
          <w:color w:val="333333"/>
          <w:sz w:val="24"/>
          <w:szCs w:val="24"/>
          <w:rtl/>
        </w:rPr>
        <w:t>כמובן שבנוסף לתגמולי הפנסיה המעביד מחויב להפריש לקופת הפיצויים במדרג משתנה החל מ1.68% בשנת 2009 ועד 4.18% בשנת 2012. והפרשות העובד 5.5%, כך שסך ההפרשות לפנסיה כדלקמן:</w:t>
      </w:r>
    </w:p>
    <w:p w:rsidR="009873E0" w:rsidRPr="009873E0" w:rsidRDefault="009873E0" w:rsidP="009873E0">
      <w:pPr>
        <w:spacing w:after="0" w:line="240" w:lineRule="auto"/>
        <w:rPr>
          <w:rFonts w:ascii="Arial" w:eastAsia="Times New Roman" w:hAnsi="Arial" w:cs="David"/>
          <w:color w:val="333333"/>
          <w:sz w:val="24"/>
          <w:szCs w:val="24"/>
          <w:rtl/>
        </w:rPr>
      </w:pPr>
      <w:r w:rsidRPr="009873E0">
        <w:rPr>
          <w:rFonts w:ascii="Arial" w:eastAsia="Times New Roman" w:hAnsi="Arial" w:cs="David"/>
          <w:color w:val="333333"/>
          <w:sz w:val="24"/>
          <w:szCs w:val="24"/>
          <w:rtl/>
        </w:rPr>
        <w:t> </w:t>
      </w:r>
    </w:p>
    <w:p w:rsidR="009873E0" w:rsidRPr="009873E0" w:rsidRDefault="009873E0" w:rsidP="009873E0">
      <w:pPr>
        <w:spacing w:after="0" w:line="240" w:lineRule="auto"/>
        <w:rPr>
          <w:rFonts w:ascii="Arial" w:eastAsia="Times New Roman" w:hAnsi="Arial" w:cs="David"/>
          <w:color w:val="333333"/>
          <w:sz w:val="24"/>
          <w:szCs w:val="24"/>
          <w:rtl/>
        </w:rPr>
      </w:pPr>
      <w:r w:rsidRPr="009873E0">
        <w:rPr>
          <w:rFonts w:ascii="Arial" w:eastAsia="Times New Roman" w:hAnsi="Arial" w:cs="David"/>
          <w:color w:val="333333"/>
          <w:sz w:val="24"/>
          <w:szCs w:val="24"/>
          <w:rtl/>
        </w:rPr>
        <w:t>בשנת 2009 תגמולי עובד-מעביד : 13.18%.</w:t>
      </w:r>
    </w:p>
    <w:p w:rsidR="009873E0" w:rsidRPr="009873E0" w:rsidRDefault="009873E0" w:rsidP="009873E0">
      <w:pPr>
        <w:spacing w:after="0" w:line="240" w:lineRule="auto"/>
        <w:rPr>
          <w:rFonts w:ascii="Arial" w:eastAsia="Times New Roman" w:hAnsi="Arial" w:cs="David"/>
          <w:color w:val="333333"/>
          <w:sz w:val="24"/>
          <w:szCs w:val="24"/>
          <w:rtl/>
        </w:rPr>
      </w:pPr>
      <w:r w:rsidRPr="009873E0">
        <w:rPr>
          <w:rFonts w:ascii="Arial" w:eastAsia="Times New Roman" w:hAnsi="Arial" w:cs="David"/>
          <w:color w:val="333333"/>
          <w:sz w:val="24"/>
          <w:szCs w:val="24"/>
          <w:rtl/>
        </w:rPr>
        <w:t>בשנת 2010 תגמולי עובד-מעביד: 14%.</w:t>
      </w:r>
    </w:p>
    <w:p w:rsidR="009873E0" w:rsidRPr="009873E0" w:rsidRDefault="009873E0" w:rsidP="009873E0">
      <w:pPr>
        <w:spacing w:after="0" w:line="240" w:lineRule="auto"/>
        <w:rPr>
          <w:rFonts w:ascii="Arial" w:eastAsia="Times New Roman" w:hAnsi="Arial" w:cs="David"/>
          <w:color w:val="333333"/>
          <w:sz w:val="24"/>
          <w:szCs w:val="24"/>
          <w:rtl/>
        </w:rPr>
      </w:pPr>
      <w:r w:rsidRPr="009873E0">
        <w:rPr>
          <w:rFonts w:ascii="Arial" w:eastAsia="Times New Roman" w:hAnsi="Arial" w:cs="David"/>
          <w:color w:val="333333"/>
          <w:sz w:val="24"/>
          <w:szCs w:val="24"/>
          <w:rtl/>
        </w:rPr>
        <w:t>בשנת 2011 תגמולי עובד-מעביד 14.84%.</w:t>
      </w:r>
    </w:p>
    <w:p w:rsidR="009873E0" w:rsidRPr="009873E0" w:rsidRDefault="009873E0" w:rsidP="009873E0">
      <w:pPr>
        <w:spacing w:after="0" w:line="240" w:lineRule="auto"/>
        <w:rPr>
          <w:rFonts w:ascii="Arial" w:eastAsia="Times New Roman" w:hAnsi="Arial" w:cs="David"/>
          <w:color w:val="333333"/>
          <w:sz w:val="24"/>
          <w:szCs w:val="24"/>
          <w:rtl/>
        </w:rPr>
      </w:pPr>
      <w:r w:rsidRPr="009873E0">
        <w:rPr>
          <w:rFonts w:ascii="Arial" w:eastAsia="Times New Roman" w:hAnsi="Arial" w:cs="David"/>
          <w:color w:val="333333"/>
          <w:sz w:val="24"/>
          <w:szCs w:val="24"/>
          <w:rtl/>
        </w:rPr>
        <w:t>בשנת 2012 תגמולי עובד-מעביד 15.68%.</w:t>
      </w:r>
    </w:p>
    <w:p w:rsidR="009873E0" w:rsidRPr="009873E0" w:rsidRDefault="009873E0" w:rsidP="009873E0">
      <w:pPr>
        <w:spacing w:after="0" w:line="240" w:lineRule="auto"/>
        <w:rPr>
          <w:rFonts w:ascii="Arial" w:eastAsia="Times New Roman" w:hAnsi="Arial" w:cs="David"/>
          <w:color w:val="333333"/>
          <w:sz w:val="24"/>
          <w:szCs w:val="24"/>
          <w:rtl/>
        </w:rPr>
      </w:pPr>
      <w:r w:rsidRPr="009873E0">
        <w:rPr>
          <w:rFonts w:ascii="Arial" w:eastAsia="Times New Roman" w:hAnsi="Arial" w:cs="David"/>
          <w:color w:val="333333"/>
          <w:sz w:val="24"/>
          <w:szCs w:val="24"/>
          <w:rtl/>
        </w:rPr>
        <w:t> </w:t>
      </w:r>
    </w:p>
    <w:p w:rsidR="009873E0" w:rsidRPr="009873E0" w:rsidRDefault="009873E0" w:rsidP="009873E0">
      <w:pPr>
        <w:spacing w:after="0" w:line="240" w:lineRule="auto"/>
        <w:rPr>
          <w:rFonts w:ascii="Arial" w:eastAsia="Times New Roman" w:hAnsi="Arial" w:cs="David"/>
          <w:color w:val="333333"/>
          <w:sz w:val="24"/>
          <w:szCs w:val="24"/>
          <w:rtl/>
        </w:rPr>
      </w:pPr>
      <w:r w:rsidRPr="009873E0">
        <w:rPr>
          <w:rFonts w:ascii="Arial" w:eastAsia="Times New Roman" w:hAnsi="Arial" w:cs="David"/>
          <w:color w:val="333333"/>
          <w:sz w:val="24"/>
          <w:szCs w:val="24"/>
          <w:rtl/>
        </w:rPr>
        <w:t xml:space="preserve">במסגרת צו הרחבה לענף השמירה, כל עובד שהשלים 6 חודשי עבודה זכאי להפרשי פנסיה ב'קופת מבטחים' באפן רטרואקטיבי, החל מיום עבודתו הראשון, בשיעור מיטבי של 6% תגמולי מעביד. בשנת 1973 עמד שיעור ההפרשה של המעסיק בענף השמירה על 5% (בהתאם לסעיף י"ב בחוק הפנסיה) ובשנת 1988 הוחלה הרחבה נוספת שהגדילה את שיעור ההפרשה החלה על המעסיק ל-6%. </w:t>
      </w:r>
      <w:r>
        <w:rPr>
          <w:rFonts w:ascii="Arial" w:eastAsia="Times New Roman" w:hAnsi="Arial" w:cs="David" w:hint="cs"/>
          <w:color w:val="333333"/>
          <w:sz w:val="24"/>
          <w:szCs w:val="24"/>
          <w:rtl/>
        </w:rPr>
        <w:t>אך</w:t>
      </w:r>
      <w:r w:rsidRPr="009873E0">
        <w:rPr>
          <w:rFonts w:ascii="Arial" w:eastAsia="Times New Roman" w:hAnsi="Arial" w:cs="David"/>
          <w:color w:val="333333"/>
          <w:sz w:val="24"/>
          <w:szCs w:val="24"/>
          <w:rtl/>
        </w:rPr>
        <w:t xml:space="preserve"> מעסיקים רבים בענף השמירה מתעלמים מסעיף זה ועובדים רבים כלל אינם מודעים לזכויותיהם.</w:t>
      </w:r>
    </w:p>
    <w:p w:rsidR="009873E0" w:rsidRPr="009873E0" w:rsidRDefault="009873E0" w:rsidP="009873E0">
      <w:pPr>
        <w:spacing w:after="0" w:line="240" w:lineRule="auto"/>
        <w:rPr>
          <w:rFonts w:ascii="Arial" w:eastAsia="Times New Roman" w:hAnsi="Arial" w:cs="David"/>
          <w:color w:val="333333"/>
          <w:sz w:val="24"/>
          <w:szCs w:val="24"/>
          <w:rtl/>
        </w:rPr>
      </w:pPr>
      <w:r w:rsidRPr="009873E0">
        <w:rPr>
          <w:rFonts w:ascii="Arial" w:eastAsia="Times New Roman" w:hAnsi="Arial" w:cs="David"/>
          <w:color w:val="333333"/>
          <w:sz w:val="24"/>
          <w:szCs w:val="24"/>
          <w:rtl/>
        </w:rPr>
        <w:t> </w:t>
      </w:r>
    </w:p>
    <w:p w:rsidR="009873E0" w:rsidRPr="009873E0" w:rsidRDefault="009873E0" w:rsidP="009873E0">
      <w:pPr>
        <w:spacing w:after="0" w:line="240" w:lineRule="auto"/>
        <w:rPr>
          <w:rFonts w:ascii="Arial" w:eastAsia="Times New Roman" w:hAnsi="Arial" w:cs="David"/>
          <w:color w:val="333333"/>
          <w:sz w:val="24"/>
          <w:szCs w:val="24"/>
          <w:rtl/>
        </w:rPr>
      </w:pPr>
      <w:r w:rsidRPr="009873E0">
        <w:rPr>
          <w:rFonts w:ascii="Arial" w:eastAsia="Times New Roman" w:hAnsi="Arial" w:cs="David"/>
          <w:color w:val="333333"/>
          <w:sz w:val="24"/>
          <w:szCs w:val="24"/>
          <w:rtl/>
        </w:rPr>
        <w:t xml:space="preserve">מה שקורה בפועל זה שמעסיקים בענף השמירה ובענפים אחרים מפרישים לעובדים </w:t>
      </w:r>
      <w:r>
        <w:rPr>
          <w:rFonts w:ascii="Arial" w:eastAsia="Times New Roman" w:hAnsi="Arial" w:cs="David" w:hint="cs"/>
          <w:color w:val="333333"/>
          <w:sz w:val="24"/>
          <w:szCs w:val="24"/>
          <w:rtl/>
        </w:rPr>
        <w:t xml:space="preserve">לקרן הפנסיה בשיעורים נמוכים, </w:t>
      </w:r>
      <w:r w:rsidRPr="009873E0">
        <w:rPr>
          <w:rFonts w:ascii="Arial" w:eastAsia="Times New Roman" w:hAnsi="Arial" w:cs="David"/>
          <w:color w:val="333333"/>
          <w:sz w:val="24"/>
          <w:szCs w:val="24"/>
          <w:rtl/>
        </w:rPr>
        <w:t>על פי צו ההרחבה לפנסיה חובה, כשלמעשה הם מחויבים להפריש לקופות הפנסיה סכומים בשיעור מיטיב של 6</w:t>
      </w:r>
      <w:r>
        <w:rPr>
          <w:rFonts w:ascii="Arial" w:eastAsia="Times New Roman" w:hAnsi="Arial" w:cs="David"/>
          <w:color w:val="333333"/>
          <w:sz w:val="24"/>
          <w:szCs w:val="24"/>
          <w:rtl/>
        </w:rPr>
        <w:t>% בהתאם לצווי הרחבה בענף השמירה</w:t>
      </w:r>
      <w:r>
        <w:rPr>
          <w:rFonts w:ascii="Arial" w:eastAsia="Times New Roman" w:hAnsi="Arial" w:cs="David" w:hint="cs"/>
          <w:color w:val="333333"/>
          <w:sz w:val="24"/>
          <w:szCs w:val="24"/>
          <w:rtl/>
        </w:rPr>
        <w:t xml:space="preserve"> או בענפים אחרים.</w:t>
      </w:r>
    </w:p>
    <w:p w:rsidR="009873E0" w:rsidRPr="009873E0" w:rsidRDefault="009873E0" w:rsidP="009873E0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rtl/>
        </w:rPr>
      </w:pPr>
      <w:r w:rsidRPr="009873E0">
        <w:rPr>
          <w:rFonts w:ascii="Arial" w:eastAsia="Times New Roman" w:hAnsi="Arial" w:cs="David"/>
          <w:color w:val="333333"/>
          <w:sz w:val="24"/>
          <w:szCs w:val="24"/>
          <w:rtl/>
        </w:rPr>
        <w:t xml:space="preserve">באם העובד הוא לפני גיל הפרישה המעביד מחויב לפתוח עבורו קופת פנסיה </w:t>
      </w:r>
      <w:r>
        <w:rPr>
          <w:rFonts w:ascii="Arial" w:eastAsia="Times New Roman" w:hAnsi="Arial" w:cs="David" w:hint="cs"/>
          <w:color w:val="333333"/>
          <w:sz w:val="24"/>
          <w:szCs w:val="24"/>
          <w:rtl/>
        </w:rPr>
        <w:t>או להמשיך להפריש לקופה קיימת וחל איסור על ה</w:t>
      </w:r>
      <w:r w:rsidRPr="009873E0">
        <w:rPr>
          <w:rFonts w:ascii="Arial" w:eastAsia="Times New Roman" w:hAnsi="Arial" w:cs="David"/>
          <w:color w:val="333333"/>
          <w:sz w:val="24"/>
          <w:szCs w:val="24"/>
          <w:rtl/>
        </w:rPr>
        <w:t>מעביד להפסיק</w:t>
      </w:r>
      <w:r>
        <w:rPr>
          <w:rFonts w:ascii="Arial" w:eastAsia="Times New Roman" w:hAnsi="Arial" w:cs="David" w:hint="cs"/>
          <w:color w:val="333333"/>
          <w:sz w:val="24"/>
          <w:szCs w:val="24"/>
          <w:rtl/>
        </w:rPr>
        <w:t xml:space="preserve"> להפריש </w:t>
      </w:r>
      <w:r w:rsidRPr="009873E0">
        <w:rPr>
          <w:rFonts w:ascii="Arial" w:eastAsia="Times New Roman" w:hAnsi="Arial" w:cs="David"/>
          <w:color w:val="333333"/>
          <w:sz w:val="24"/>
          <w:szCs w:val="24"/>
          <w:rtl/>
        </w:rPr>
        <w:t xml:space="preserve"> – גם כאשר העובד מגיע לגיל פרישה.</w:t>
      </w:r>
      <w:r w:rsidRPr="009873E0">
        <w:rPr>
          <w:rFonts w:ascii="Arial" w:eastAsia="Times New Roman" w:hAnsi="Arial" w:cs="David"/>
          <w:color w:val="333333"/>
          <w:sz w:val="24"/>
          <w:szCs w:val="24"/>
          <w:rtl/>
        </w:rPr>
        <w:br/>
      </w:r>
      <w:r w:rsidRPr="009873E0">
        <w:rPr>
          <w:rFonts w:ascii="Arial" w:eastAsia="Times New Roman" w:hAnsi="Arial" w:cs="Arial"/>
          <w:color w:val="333333"/>
          <w:sz w:val="18"/>
          <w:szCs w:val="18"/>
          <w:rtl/>
        </w:rPr>
        <w:t> </w:t>
      </w:r>
    </w:p>
    <w:p w:rsidR="003A4B9A" w:rsidRDefault="003A4B9A"/>
    <w:sectPr w:rsidR="003A4B9A" w:rsidSect="003F72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E0"/>
    <w:rsid w:val="003A4B9A"/>
    <w:rsid w:val="003F72C6"/>
    <w:rsid w:val="009873E0"/>
    <w:rsid w:val="00F2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73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73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592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9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04321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7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77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עופר בן אבי</dc:creator>
  <cp:lastModifiedBy>meeting1</cp:lastModifiedBy>
  <cp:revision>2</cp:revision>
  <dcterms:created xsi:type="dcterms:W3CDTF">2014-02-27T11:45:00Z</dcterms:created>
  <dcterms:modified xsi:type="dcterms:W3CDTF">2014-02-27T11:45:00Z</dcterms:modified>
</cp:coreProperties>
</file>